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F" w:rsidRDefault="002205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053F" w:rsidRDefault="0022053F">
      <w:pPr>
        <w:pStyle w:val="ConsPlusNormal"/>
        <w:ind w:firstLine="540"/>
        <w:jc w:val="both"/>
        <w:outlineLvl w:val="0"/>
      </w:pPr>
    </w:p>
    <w:p w:rsidR="0022053F" w:rsidRDefault="0022053F">
      <w:pPr>
        <w:pStyle w:val="ConsPlusTitle"/>
        <w:jc w:val="center"/>
      </w:pPr>
      <w:r>
        <w:t>ПРЕЗИДИУМ ВЕРХОВНОГО СУДА РОССИЙСКОЙ ФЕДЕРАЦИИ</w:t>
      </w:r>
    </w:p>
    <w:p w:rsidR="0022053F" w:rsidRDefault="0022053F">
      <w:pPr>
        <w:pStyle w:val="ConsPlusTitle"/>
        <w:jc w:val="center"/>
      </w:pPr>
    </w:p>
    <w:p w:rsidR="0022053F" w:rsidRDefault="0022053F">
      <w:pPr>
        <w:pStyle w:val="ConsPlusTitle"/>
        <w:jc w:val="center"/>
      </w:pPr>
      <w:r>
        <w:t>ПОСТАНОВЛЕНИЕ</w:t>
      </w:r>
    </w:p>
    <w:p w:rsidR="0022053F" w:rsidRDefault="0022053F">
      <w:pPr>
        <w:pStyle w:val="ConsPlusTitle"/>
        <w:jc w:val="center"/>
      </w:pPr>
      <w:r>
        <w:t>от 8 декабря 2010 года</w:t>
      </w:r>
    </w:p>
    <w:p w:rsidR="0022053F" w:rsidRDefault="0022053F">
      <w:pPr>
        <w:pStyle w:val="ConsPlusTitle"/>
        <w:jc w:val="center"/>
      </w:pPr>
    </w:p>
    <w:p w:rsidR="0022053F" w:rsidRDefault="0022053F">
      <w:pPr>
        <w:pStyle w:val="ConsPlusTitle"/>
        <w:jc w:val="center"/>
      </w:pPr>
      <w:r>
        <w:t>О НЕКОТОРЫХ ВОПРОСАХ ПРАКТИКИ РАССМОТРЕНИЯ СУДАМИ ДЕЛ</w:t>
      </w:r>
    </w:p>
    <w:p w:rsidR="0022053F" w:rsidRDefault="0022053F">
      <w:pPr>
        <w:pStyle w:val="ConsPlusTitle"/>
        <w:jc w:val="center"/>
      </w:pPr>
      <w:r>
        <w:t>О ПРЕСТУПЛЕНИЯХ КОРРУПЦИОННОЙ НАПРАВЛЕННОСТИ</w:t>
      </w:r>
    </w:p>
    <w:p w:rsidR="0022053F" w:rsidRDefault="0022053F">
      <w:pPr>
        <w:pStyle w:val="ConsPlusNormal"/>
        <w:ind w:firstLine="540"/>
        <w:jc w:val="both"/>
      </w:pPr>
    </w:p>
    <w:p w:rsidR="0022053F" w:rsidRDefault="0022053F">
      <w:pPr>
        <w:pStyle w:val="ConsPlusNormal"/>
        <w:ind w:firstLine="540"/>
        <w:jc w:val="both"/>
      </w:pPr>
      <w:r>
        <w:t>Президиум Верховного Суда Российской Федерации, придавая большое значение необходимости реализации обязательств России, вытекающих из положений Конвенции Организации Объединенных Наций против коррупции, открытой для подписания 9 декабря 2003 года, рассмотрел результаты обобщения судебной практики о применении судами законодательства о преступлениях коррупционной направленности.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Проведенный анализ судебной практики показал, что суды в целом правильно применяют нормы уголовного и уголовно-процессуального законодательства при рассмотрении дел указанной категории. </w:t>
      </w:r>
      <w:proofErr w:type="gramStart"/>
      <w:r>
        <w:t xml:space="preserve">При этом суды руководствуются положениями Федеральных законов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7 августа 2001 г. </w:t>
      </w:r>
      <w:hyperlink r:id="rId7" w:history="1">
        <w:r>
          <w:rPr>
            <w:color w:val="0000FF"/>
          </w:rPr>
          <w:t>N 115-ФЗ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терроризма", а также разъяснениями Постановлений Пленумов Верховного Суда Российской Федерации "</w:t>
      </w:r>
      <w:hyperlink r:id="rId8" w:history="1">
        <w:r>
          <w:rPr>
            <w:color w:val="0000FF"/>
          </w:rPr>
          <w:t>О судебной практике</w:t>
        </w:r>
      </w:hyperlink>
      <w:r>
        <w:t xml:space="preserve"> по делам о взяточничестве и коммерческом подкупе", "</w:t>
      </w:r>
      <w:hyperlink r:id="rId9" w:history="1">
        <w:r>
          <w:rPr>
            <w:color w:val="0000FF"/>
          </w:rPr>
          <w:t>О судебной практике</w:t>
        </w:r>
      </w:hyperlink>
      <w:r>
        <w:t xml:space="preserve"> по делам о</w:t>
      </w:r>
      <w:proofErr w:type="gramEnd"/>
      <w:r>
        <w:t xml:space="preserve"> </w:t>
      </w:r>
      <w:proofErr w:type="gramStart"/>
      <w:r>
        <w:t>злоупотреблении</w:t>
      </w:r>
      <w:proofErr w:type="gramEnd"/>
      <w:r>
        <w:t xml:space="preserve"> должностными полномочиями и о превышении должностных полномочий", "</w:t>
      </w:r>
      <w:hyperlink r:id="rId10" w:history="1">
        <w:r>
          <w:rPr>
            <w:color w:val="0000FF"/>
          </w:rPr>
          <w:t>О судебной практике</w:t>
        </w:r>
      </w:hyperlink>
      <w:r>
        <w:t xml:space="preserve"> по делам о незаконном предпринимательстве и легализации (отмывании) денежных средств или иного имущества, приобретенных преступным путем". Постановленные по конкретным делам приговоры содержат ссылки на законодательство, регламентирующее порядок и условия прохождения государственной гражданской службы, муниципальной службы Российской Федерации, а также на иные нормативные акты, служащие правовым основанием для признания лица субъектом уголовной ответственности по делам рассматриваемой категории.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>За совершение преступлений коррупционной направленности в течение 9 месяцев 2010 г. осуждено 6826 лиц. Основными категориями лиц, совершивших данные преступления, являлись государственные и муниципальные служащие, руководители и другие лица, выполняющие управленческие функции в коммерческих и иных организациях.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>По изученным материалам, поступившим из судов, предметом судебного рассмотрения все чаще становятся дела, возбужденные в отношении должностных лиц, занимающих высокое положение в системе государственных органов власти и управления, что свидетельствует о повышении эффективности принимаемых мер по противодействию коррупции.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Наиболее распространенным видом преступлений указанной категории по-прежнему остается взяточничество. За 9 месяцев 2010 г. за получение взятки осуждено 1393 лица, из них к реальному лишению свободы на определенный срок - 26% осужденных. При этом за наиболее тяжкие виды этого преступления к лишению свободы: по </w:t>
      </w:r>
      <w:hyperlink r:id="rId11" w:history="1">
        <w:r>
          <w:rPr>
            <w:color w:val="0000FF"/>
          </w:rPr>
          <w:t>части 3 статьи 290</w:t>
        </w:r>
      </w:hyperlink>
      <w:r>
        <w:t xml:space="preserve"> УК РФ, за 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осуждено 50% лиц. По </w:t>
      </w:r>
      <w:hyperlink r:id="rId12" w:history="1">
        <w:r>
          <w:rPr>
            <w:color w:val="0000FF"/>
          </w:rPr>
          <w:t>части 4 статьи 290</w:t>
        </w:r>
      </w:hyperlink>
      <w:r>
        <w:t xml:space="preserve"> УК РФ за совершение преступления группой лиц по предварительному сговору или организованной группой, в крупном размере или с вымогательством взятки осуждено 72,6% лиц.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>Одним из основных видов наказания за преступления коррупционной направленности, не связанного с лишением свободы, является штраф, который назначен 1774 лицам.</w:t>
      </w:r>
    </w:p>
    <w:p w:rsidR="0022053F" w:rsidRDefault="0022053F">
      <w:pPr>
        <w:pStyle w:val="ConsPlusNormal"/>
        <w:spacing w:before="220"/>
        <w:ind w:firstLine="540"/>
        <w:jc w:val="both"/>
      </w:pPr>
      <w:proofErr w:type="gramStart"/>
      <w:r>
        <w:lastRenderedPageBreak/>
        <w:t>Решение в отношении вида и размера назначенного наказания принималось судами с учетом характера действия (бездействия) виновных лиц, размеров взятки, обстоятельств, связанных с поведением осужденных во время или после совершения преступлений, обстоятельств, влияющих на оценку степени общественной опасности содеянного (в частности, явка с повинной, активное способствование раскрытию преступления), а также данных о личности подсудимых.</w:t>
      </w:r>
      <w:proofErr w:type="gramEnd"/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За 9 месяцев 2010 г. суды при рассмотрении дел о преступлениях коррупционной направленности в 237 случаях реализовали свои полномочия, предусмотренные </w:t>
      </w:r>
      <w:hyperlink r:id="rId13" w:history="1">
        <w:r>
          <w:rPr>
            <w:color w:val="0000FF"/>
          </w:rPr>
          <w:t>частью 4 статьи 290</w:t>
        </w:r>
      </w:hyperlink>
      <w:r>
        <w:t xml:space="preserve"> УК РФ, связанные с вынесением частного определения (постановления) как средства реагирования на выявление обстоятельств, способствовавших совершению преступления, нарушению прав и свобод граждан.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Вместе с тем, практика вынесения частных определений (постановлений) заслуживает более широкого распространения, с </w:t>
      </w:r>
      <w:proofErr w:type="gramStart"/>
      <w:r>
        <w:t>тем</w:t>
      </w:r>
      <w:proofErr w:type="gramEnd"/>
      <w:r>
        <w:t xml:space="preserve"> чтобы не оставались без судебной оценки причины и условия, которые способствовали совершению коррупционных преступлений.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>Президиум Верховного Суда Российской Федерации постановляет:</w:t>
      </w:r>
    </w:p>
    <w:p w:rsidR="0022053F" w:rsidRDefault="0022053F">
      <w:pPr>
        <w:pStyle w:val="ConsPlusNormal"/>
        <w:ind w:firstLine="540"/>
        <w:jc w:val="both"/>
      </w:pPr>
    </w:p>
    <w:p w:rsidR="0022053F" w:rsidRDefault="0022053F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Обратить внимание судов на то, что преступные посягательства на установленный законом порядок деятельности государственных органов, органов местного самоуправления, государственных и муниципальных организаций и учреждений способствуют утрате доверия общества к государственным институтам, препятствуют проведению социальных и экономических преобразований, создают обстановку, благоприятную для совершения иных преступлений, правомерно рассматриваются как угроза национальной безопасности Российской Федерации, а также формируют негативный образ России в международном</w:t>
      </w:r>
      <w:proofErr w:type="gramEnd"/>
      <w:r>
        <w:t xml:space="preserve"> </w:t>
      </w:r>
      <w:proofErr w:type="gramStart"/>
      <w:r>
        <w:t>сообществе</w:t>
      </w:r>
      <w:proofErr w:type="gramEnd"/>
      <w:r>
        <w:t>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Имея в виду, что обеспечение справедливой и равной для всех доступности правосудия и повышение оперативности рассмотрения дел в судах является одним из основных направлений Национального </w:t>
      </w:r>
      <w:hyperlink r:id="rId14" w:history="1">
        <w:r>
          <w:rPr>
            <w:color w:val="0000FF"/>
          </w:rPr>
          <w:t>плана</w:t>
        </w:r>
      </w:hyperlink>
      <w:r>
        <w:t xml:space="preserve"> противодействия коррупции судам следует строго соблюдать требования закона об индивидуализации наказания, назначаемого осужденным за совершение преступлений коррупционной направленности, а также обеспечивать соблюдение разумных сроков рассмотрения дел указанной категории.</w:t>
      </w:r>
      <w:proofErr w:type="gramEnd"/>
    </w:p>
    <w:p w:rsidR="0022053F" w:rsidRDefault="0022053F">
      <w:pPr>
        <w:pStyle w:val="ConsPlusNormal"/>
        <w:spacing w:before="220"/>
        <w:ind w:firstLine="540"/>
        <w:jc w:val="both"/>
      </w:pPr>
      <w:r>
        <w:t>3. Рекомендовать судам при рассмотрении дел о преступлениях коррупционной направленности принимать необходимые меры к выявлению причин и условий, способствовавших совершению этих преступлений, ставить вопросы об их устранении в частных определениях (постановления) перед руководителями государственных, муниципальных организаций и учреждений.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эффективности профилактической функции правосудия по противодействию коррупции председателям судов следует регулярно осуществлять организационные меры по контролю за выполнением частных определений (постановлений), </w:t>
      </w:r>
      <w:proofErr w:type="gramStart"/>
      <w:r>
        <w:t>вынесенных по делам о преступлениях коррупционной направленности.</w:t>
      </w:r>
      <w:proofErr w:type="gramEnd"/>
    </w:p>
    <w:p w:rsidR="0022053F" w:rsidRDefault="0022053F">
      <w:pPr>
        <w:pStyle w:val="ConsPlusNormal"/>
        <w:spacing w:before="220"/>
        <w:ind w:firstLine="540"/>
        <w:jc w:val="both"/>
      </w:pPr>
      <w:r>
        <w:t>4. Рекомендовать судам осуществлять мониторинг практики рассмотрения дел указанной категории, обращая особое внимание на дела, связанные с дачей и получением взятки должностными лицами и злоупотреблениями, допускаемыми государственными служащими при выполнении функций, связанных с распределением и расходованием бюджетных средств.</w:t>
      </w:r>
    </w:p>
    <w:p w:rsidR="0022053F" w:rsidRDefault="0022053F">
      <w:pPr>
        <w:pStyle w:val="ConsPlusNormal"/>
        <w:spacing w:before="220"/>
        <w:ind w:firstLine="540"/>
        <w:jc w:val="both"/>
      </w:pPr>
      <w:r>
        <w:t>5. Председателям судов обеспечить проведение мероприятий по оперативному размещению на соответствующих сайтах в сети Интернет решений судов общей юрисдикции, постановленных по результатам рассмотрения дел о преступлениях коррупционной направленности.</w:t>
      </w:r>
    </w:p>
    <w:p w:rsidR="0022053F" w:rsidRDefault="0022053F">
      <w:pPr>
        <w:pStyle w:val="ConsPlusNormal"/>
        <w:ind w:firstLine="540"/>
        <w:jc w:val="both"/>
      </w:pPr>
    </w:p>
    <w:p w:rsidR="0022053F" w:rsidRDefault="0022053F">
      <w:pPr>
        <w:pStyle w:val="ConsPlusNormal"/>
        <w:jc w:val="right"/>
      </w:pPr>
      <w:r>
        <w:lastRenderedPageBreak/>
        <w:t>Председательствующий</w:t>
      </w:r>
    </w:p>
    <w:p w:rsidR="0022053F" w:rsidRDefault="0022053F">
      <w:pPr>
        <w:pStyle w:val="ConsPlusNormal"/>
        <w:jc w:val="right"/>
      </w:pPr>
      <w:r>
        <w:t>В.М.ЛЕБЕДЕВ</w:t>
      </w:r>
    </w:p>
    <w:p w:rsidR="0022053F" w:rsidRDefault="0022053F">
      <w:pPr>
        <w:pStyle w:val="ConsPlusNormal"/>
        <w:ind w:firstLine="540"/>
        <w:jc w:val="both"/>
      </w:pPr>
    </w:p>
    <w:p w:rsidR="0022053F" w:rsidRDefault="0022053F">
      <w:pPr>
        <w:pStyle w:val="ConsPlusNormal"/>
        <w:ind w:firstLine="540"/>
        <w:jc w:val="both"/>
      </w:pPr>
    </w:p>
    <w:p w:rsidR="0022053F" w:rsidRDefault="00220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F4" w:rsidRDefault="008944F4">
      <w:bookmarkStart w:id="0" w:name="_GoBack"/>
      <w:bookmarkEnd w:id="0"/>
    </w:p>
    <w:sectPr w:rsidR="008944F4" w:rsidSect="00E8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F"/>
    <w:rsid w:val="0022053F"/>
    <w:rsid w:val="008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7A6B6ABBE672EAD1431863B328945355FA08DE8D65FB68F44FA27763C5A36EAA3225B01AF86569B64335F3pEX7G" TargetMode="External"/><Relationship Id="rId13" Type="http://schemas.openxmlformats.org/officeDocument/2006/relationships/hyperlink" Target="consultantplus://offline/ref=E8F57A6B6ABBE672EAD14E0B76B328945352FE0EDE8465FB68F44FA27763C5A37CAA6A29B31AEF6569A31564B6BB5550D02C987AB25D3F88pEX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57A6B6ABBE672EAD14E0B76B328945150F109DD8065FB68F44FA27763C5A36EAA3225B01AF86569B64335F3pEX7G" TargetMode="External"/><Relationship Id="rId12" Type="http://schemas.openxmlformats.org/officeDocument/2006/relationships/hyperlink" Target="consultantplus://offline/ref=E8F57A6B6ABBE672EAD14E0B76B328945352FE0EDE8465FB68F44FA27763C5A37CAA6A29B31AEF6569A31564B6BB5550D02C987AB25D3F88pEX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7A6B6ABBE672EAD14E0B76B328945053F90DD88165FB68F44FA27763C5A36EAA3225B01AF86569B64335F3pEX7G" TargetMode="External"/><Relationship Id="rId11" Type="http://schemas.openxmlformats.org/officeDocument/2006/relationships/hyperlink" Target="consultantplus://offline/ref=E8F57A6B6ABBE672EAD14E0B76B328945352FE0EDE8465FB68F44FA27763C5A37CAA6A29B31AEF656BA31564B6BB5550D02C987AB25D3F88pEX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F57A6B6ABBE672EAD1431863B328945355FA08DE8165FB68F44FA27763C5A36EAA3225B01AF86569B64335F3pE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7A6B6ABBE672EAD1431863B328945350F804DD8765FB68F44FA27763C5A36EAA3225B01AF86569B64335F3pEX7G" TargetMode="External"/><Relationship Id="rId14" Type="http://schemas.openxmlformats.org/officeDocument/2006/relationships/hyperlink" Target="consultantplus://offline/ref=E8F57A6B6ABBE672EAD14E0B76B328945352F00ED48565FB68F44FA27763C5A36EAA3225B01AF86569B64335F3pE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Анна Викторовна</dc:creator>
  <cp:lastModifiedBy>Королькова Анна Викторовна</cp:lastModifiedBy>
  <cp:revision>1</cp:revision>
  <dcterms:created xsi:type="dcterms:W3CDTF">2019-07-31T06:23:00Z</dcterms:created>
  <dcterms:modified xsi:type="dcterms:W3CDTF">2019-07-31T06:25:00Z</dcterms:modified>
</cp:coreProperties>
</file>