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41" w:rsidRDefault="00DD4086" w:rsidP="00DD408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практике ос</w:t>
      </w:r>
      <w:r w:rsidR="00CB412E">
        <w:rPr>
          <w:rFonts w:ascii="Times New Roman" w:hAnsi="Times New Roman" w:cs="Times New Roman"/>
          <w:sz w:val="28"/>
          <w:szCs w:val="28"/>
        </w:rPr>
        <w:t>уществления КСП ПК</w:t>
      </w:r>
      <w:r>
        <w:rPr>
          <w:rFonts w:ascii="Times New Roman" w:hAnsi="Times New Roman" w:cs="Times New Roman"/>
          <w:sz w:val="28"/>
          <w:szCs w:val="28"/>
        </w:rPr>
        <w:t xml:space="preserve"> контроля высокодотационных муниципальных образований </w:t>
      </w:r>
    </w:p>
    <w:p w:rsidR="00B60008" w:rsidRPr="002444DB" w:rsidRDefault="00CB412E" w:rsidP="00BB7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Нормами </w:t>
      </w:r>
      <w:r w:rsidR="009C2B61">
        <w:rPr>
          <w:rFonts w:ascii="Times New Roman" w:hAnsi="Times New Roman" w:cs="Times New Roman"/>
          <w:sz w:val="32"/>
          <w:szCs w:val="32"/>
        </w:rPr>
        <w:t>БК РФ</w:t>
      </w:r>
      <w:r w:rsidR="00B60008" w:rsidRPr="002444DB">
        <w:rPr>
          <w:rFonts w:ascii="Times New Roman" w:hAnsi="Times New Roman" w:cs="Times New Roman"/>
          <w:sz w:val="32"/>
          <w:szCs w:val="32"/>
        </w:rPr>
        <w:t xml:space="preserve"> предусмотрено проведение не реже одного раза в два года внешней проверки годового отчета об исполнении бюджета тех муниципальных образований, в бюджетах которых доля межбюджетных трансфертов из краевого бюджета в течение двух из трех последних лет превыша</w:t>
      </w:r>
      <w:r>
        <w:rPr>
          <w:rFonts w:ascii="Times New Roman" w:hAnsi="Times New Roman" w:cs="Times New Roman"/>
          <w:sz w:val="32"/>
          <w:szCs w:val="32"/>
        </w:rPr>
        <w:t>ла 50%</w:t>
      </w:r>
      <w:r w:rsidR="00B60008" w:rsidRPr="002444DB">
        <w:rPr>
          <w:rFonts w:ascii="Times New Roman" w:hAnsi="Times New Roman" w:cs="Times New Roman"/>
          <w:sz w:val="32"/>
          <w:szCs w:val="32"/>
        </w:rPr>
        <w:t xml:space="preserve"> объема собственных доходов местных бюджетов.</w:t>
      </w:r>
    </w:p>
    <w:p w:rsidR="00B60008" w:rsidRPr="002444DB" w:rsidRDefault="00B60008" w:rsidP="00BB7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t xml:space="preserve"> Количество городских округов и муниципальных районов с собствен</w:t>
      </w:r>
      <w:r w:rsidR="00CB412E">
        <w:rPr>
          <w:rFonts w:ascii="Times New Roman" w:hAnsi="Times New Roman" w:cs="Times New Roman"/>
          <w:sz w:val="32"/>
          <w:szCs w:val="32"/>
        </w:rPr>
        <w:t>ными доходами менее 50%</w:t>
      </w:r>
      <w:r w:rsidRPr="002444DB">
        <w:rPr>
          <w:rFonts w:ascii="Times New Roman" w:hAnsi="Times New Roman" w:cs="Times New Roman"/>
          <w:sz w:val="32"/>
          <w:szCs w:val="32"/>
        </w:rPr>
        <w:t xml:space="preserve"> растет с каждым годом. Например, в 2015 году их было 15, в 2016 уже – 18. Количество поселений сократилось с 29 до 18. </w:t>
      </w:r>
    </w:p>
    <w:p w:rsidR="003D30B1" w:rsidRPr="002444DB" w:rsidRDefault="00B60008" w:rsidP="00CB41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t xml:space="preserve">Информирование депутатского корпуса муниципальных образований о результатах таких проверок стало нормой. </w:t>
      </w:r>
      <w:r w:rsidR="00863389"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321AC9" w:rsidRPr="002444DB">
        <w:rPr>
          <w:rFonts w:ascii="Times New Roman" w:hAnsi="Times New Roman" w:cs="Times New Roman"/>
          <w:sz w:val="32"/>
          <w:szCs w:val="32"/>
        </w:rPr>
        <w:t>В 2016 году н</w:t>
      </w:r>
      <w:r w:rsidR="00DC345F" w:rsidRPr="002444DB">
        <w:rPr>
          <w:rFonts w:ascii="Times New Roman" w:hAnsi="Times New Roman" w:cs="Times New Roman"/>
          <w:sz w:val="32"/>
          <w:szCs w:val="32"/>
        </w:rPr>
        <w:t xml:space="preserve">ами были проверены 8 муниципальных районов и 3 сельских поселения. </w:t>
      </w:r>
      <w:r w:rsidR="00D9204D" w:rsidRPr="002444DB">
        <w:rPr>
          <w:rFonts w:ascii="Times New Roman" w:hAnsi="Times New Roman" w:cs="Times New Roman"/>
          <w:sz w:val="32"/>
          <w:szCs w:val="32"/>
        </w:rPr>
        <w:t xml:space="preserve">Исполнение </w:t>
      </w:r>
      <w:r w:rsidR="00863389" w:rsidRPr="002444DB">
        <w:rPr>
          <w:rFonts w:ascii="Times New Roman" w:hAnsi="Times New Roman" w:cs="Times New Roman"/>
          <w:sz w:val="32"/>
          <w:szCs w:val="32"/>
        </w:rPr>
        <w:t xml:space="preserve">доходной части бюджетов </w:t>
      </w:r>
      <w:r w:rsidR="00B71894" w:rsidRPr="002444DB">
        <w:rPr>
          <w:rFonts w:ascii="Times New Roman" w:hAnsi="Times New Roman" w:cs="Times New Roman"/>
          <w:sz w:val="32"/>
          <w:szCs w:val="32"/>
        </w:rPr>
        <w:t xml:space="preserve">в Хорольском, Черниговском, Надеждинском муниципальных районах </w:t>
      </w:r>
      <w:r w:rsidR="00600706" w:rsidRPr="002444DB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D9204D" w:rsidRPr="002444DB">
        <w:rPr>
          <w:rFonts w:ascii="Times New Roman" w:hAnsi="Times New Roman" w:cs="Times New Roman"/>
          <w:sz w:val="32"/>
          <w:szCs w:val="32"/>
        </w:rPr>
        <w:t xml:space="preserve">- </w:t>
      </w:r>
      <w:r w:rsidR="00600706" w:rsidRPr="002444DB">
        <w:rPr>
          <w:rFonts w:ascii="Times New Roman" w:hAnsi="Times New Roman" w:cs="Times New Roman"/>
          <w:sz w:val="32"/>
          <w:szCs w:val="32"/>
        </w:rPr>
        <w:t>95%</w:t>
      </w:r>
      <w:r w:rsidR="00B90101" w:rsidRPr="002444DB">
        <w:rPr>
          <w:rFonts w:ascii="Times New Roman" w:hAnsi="Times New Roman" w:cs="Times New Roman"/>
          <w:sz w:val="32"/>
          <w:szCs w:val="32"/>
        </w:rPr>
        <w:t>, в остальных районах доходы исполнены от 97 до 100 процентов.</w:t>
      </w:r>
    </w:p>
    <w:p w:rsidR="00B60008" w:rsidRPr="002444DB" w:rsidRDefault="00B90101" w:rsidP="00CF3312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t xml:space="preserve"> То есть, казалось бы, что исполнение доходов </w:t>
      </w:r>
      <w:r w:rsidR="00600706"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Pr="002444DB">
        <w:rPr>
          <w:rFonts w:ascii="Times New Roman" w:hAnsi="Times New Roman" w:cs="Times New Roman"/>
          <w:sz w:val="32"/>
          <w:szCs w:val="32"/>
        </w:rPr>
        <w:t>неплохое, но при этом необходимо учитывать количество изменений, внесенных в бюджеты. Изм</w:t>
      </w:r>
      <w:r w:rsidR="003E16C9">
        <w:rPr>
          <w:rFonts w:ascii="Times New Roman" w:hAnsi="Times New Roman" w:cs="Times New Roman"/>
          <w:sz w:val="32"/>
          <w:szCs w:val="32"/>
        </w:rPr>
        <w:t>енения вносились от 6 до 14 раз.</w:t>
      </w:r>
      <w:r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3E16C9">
        <w:rPr>
          <w:rFonts w:ascii="Times New Roman" w:hAnsi="Times New Roman" w:cs="Times New Roman"/>
          <w:sz w:val="32"/>
          <w:szCs w:val="32"/>
        </w:rPr>
        <w:t>Л</w:t>
      </w:r>
      <w:r w:rsidRPr="002444DB">
        <w:rPr>
          <w:rFonts w:ascii="Times New Roman" w:hAnsi="Times New Roman" w:cs="Times New Roman"/>
          <w:sz w:val="32"/>
          <w:szCs w:val="32"/>
        </w:rPr>
        <w:t>идируют</w:t>
      </w:r>
      <w:r w:rsidR="00AB2050"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321AC9" w:rsidRPr="002444DB">
        <w:rPr>
          <w:rFonts w:ascii="Times New Roman" w:hAnsi="Times New Roman" w:cs="Times New Roman"/>
          <w:sz w:val="32"/>
          <w:szCs w:val="32"/>
        </w:rPr>
        <w:t xml:space="preserve">такие </w:t>
      </w:r>
      <w:r w:rsidR="00AB2050" w:rsidRPr="002444DB">
        <w:rPr>
          <w:rFonts w:ascii="Times New Roman" w:hAnsi="Times New Roman" w:cs="Times New Roman"/>
          <w:sz w:val="32"/>
          <w:szCs w:val="32"/>
        </w:rPr>
        <w:t xml:space="preserve">районы – Анучинский -10 раз, Кировский -12, Октябрьский -14 раз – этим и объясняется </w:t>
      </w:r>
      <w:r w:rsidR="00D9204D" w:rsidRPr="002444DB">
        <w:rPr>
          <w:rFonts w:ascii="Times New Roman" w:hAnsi="Times New Roman" w:cs="Times New Roman"/>
          <w:sz w:val="32"/>
          <w:szCs w:val="32"/>
        </w:rPr>
        <w:t xml:space="preserve">довольно высокое </w:t>
      </w:r>
      <w:r w:rsidR="00AB2050" w:rsidRPr="002444DB">
        <w:rPr>
          <w:rFonts w:ascii="Times New Roman" w:hAnsi="Times New Roman" w:cs="Times New Roman"/>
          <w:sz w:val="32"/>
          <w:szCs w:val="32"/>
        </w:rPr>
        <w:t xml:space="preserve">исполнение доходов </w:t>
      </w:r>
      <w:r w:rsidR="003D30B1" w:rsidRPr="002444DB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="00AB2050" w:rsidRPr="002444DB">
        <w:rPr>
          <w:rFonts w:ascii="Times New Roman" w:hAnsi="Times New Roman" w:cs="Times New Roman"/>
          <w:sz w:val="32"/>
          <w:szCs w:val="32"/>
        </w:rPr>
        <w:t>бюджетов.</w:t>
      </w:r>
    </w:p>
    <w:p w:rsidR="00321AC9" w:rsidRPr="002444DB" w:rsidRDefault="00321AC9" w:rsidP="00BB7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lastRenderedPageBreak/>
        <w:t>При</w:t>
      </w:r>
      <w:r w:rsidR="00BB705A">
        <w:rPr>
          <w:rFonts w:ascii="Times New Roman" w:hAnsi="Times New Roman" w:cs="Times New Roman"/>
          <w:sz w:val="32"/>
          <w:szCs w:val="32"/>
        </w:rPr>
        <w:t xml:space="preserve"> </w:t>
      </w:r>
      <w:r w:rsidRPr="002444DB">
        <w:rPr>
          <w:rFonts w:ascii="Times New Roman" w:hAnsi="Times New Roman" w:cs="Times New Roman"/>
          <w:sz w:val="32"/>
          <w:szCs w:val="32"/>
        </w:rPr>
        <w:t xml:space="preserve"> дотационности </w:t>
      </w:r>
      <w:r w:rsidR="00035132" w:rsidRPr="002444DB">
        <w:rPr>
          <w:rFonts w:ascii="Times New Roman" w:hAnsi="Times New Roman" w:cs="Times New Roman"/>
          <w:sz w:val="32"/>
          <w:szCs w:val="32"/>
        </w:rPr>
        <w:t xml:space="preserve">районных </w:t>
      </w:r>
      <w:r w:rsidR="00CB412E">
        <w:rPr>
          <w:rFonts w:ascii="Times New Roman" w:hAnsi="Times New Roman" w:cs="Times New Roman"/>
          <w:sz w:val="32"/>
          <w:szCs w:val="32"/>
        </w:rPr>
        <w:t>бюджетов свыше 50%</w:t>
      </w:r>
      <w:r w:rsidRPr="002444DB">
        <w:rPr>
          <w:rFonts w:ascii="Times New Roman" w:hAnsi="Times New Roman" w:cs="Times New Roman"/>
          <w:sz w:val="32"/>
          <w:szCs w:val="32"/>
        </w:rPr>
        <w:t xml:space="preserve"> необходимо обратить особое внимание на резервы </w:t>
      </w:r>
      <w:r w:rsidR="007D2905" w:rsidRPr="002444DB">
        <w:rPr>
          <w:rFonts w:ascii="Times New Roman" w:hAnsi="Times New Roman" w:cs="Times New Roman"/>
          <w:sz w:val="32"/>
          <w:szCs w:val="32"/>
        </w:rPr>
        <w:t>наполнения бюджетов</w:t>
      </w:r>
      <w:r w:rsidR="00A2729B" w:rsidRPr="002444DB">
        <w:rPr>
          <w:rFonts w:ascii="Times New Roman" w:hAnsi="Times New Roman" w:cs="Times New Roman"/>
          <w:sz w:val="32"/>
          <w:szCs w:val="32"/>
        </w:rPr>
        <w:t xml:space="preserve"> и эти резервы имеются.</w:t>
      </w:r>
    </w:p>
    <w:p w:rsidR="00B9056A" w:rsidRPr="002444DB" w:rsidRDefault="00A2729B" w:rsidP="00BB70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t>Так на 1 января 2016 года недоимка во все уровни бюджетов составляла по</w:t>
      </w:r>
      <w:r w:rsidR="000B7C88" w:rsidRPr="002444DB">
        <w:rPr>
          <w:rFonts w:ascii="Times New Roman" w:hAnsi="Times New Roman" w:cs="Times New Roman"/>
          <w:sz w:val="32"/>
          <w:szCs w:val="32"/>
        </w:rPr>
        <w:t>:</w:t>
      </w:r>
      <w:r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B9056A" w:rsidRPr="002444DB">
        <w:rPr>
          <w:rFonts w:ascii="Times New Roman" w:hAnsi="Times New Roman" w:cs="Times New Roman"/>
          <w:b/>
          <w:sz w:val="32"/>
          <w:szCs w:val="32"/>
        </w:rPr>
        <w:t>Михайловскому</w:t>
      </w:r>
      <w:r w:rsidR="00CB412E">
        <w:rPr>
          <w:rFonts w:ascii="Times New Roman" w:hAnsi="Times New Roman" w:cs="Times New Roman"/>
          <w:sz w:val="32"/>
          <w:szCs w:val="32"/>
        </w:rPr>
        <w:t xml:space="preserve"> МР</w:t>
      </w:r>
      <w:r w:rsidR="00B9056A" w:rsidRPr="002444DB">
        <w:rPr>
          <w:rFonts w:ascii="Times New Roman" w:hAnsi="Times New Roman" w:cs="Times New Roman"/>
          <w:sz w:val="32"/>
          <w:szCs w:val="32"/>
        </w:rPr>
        <w:t xml:space="preserve"> - 7,2 млн рублей,</w:t>
      </w:r>
      <w:r w:rsidR="00B9056A" w:rsidRPr="0024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Октябрьскому </w:t>
      </w:r>
      <w:r w:rsidR="00B9056A"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району - </w:t>
      </w:r>
      <w:r w:rsidR="00B9056A" w:rsidRPr="002444DB">
        <w:rPr>
          <w:rFonts w:ascii="Times New Roman" w:hAnsi="Times New Roman" w:cs="Times New Roman"/>
          <w:sz w:val="32"/>
          <w:szCs w:val="32"/>
        </w:rPr>
        <w:t>10,6 млн рублей,</w:t>
      </w:r>
      <w:r w:rsidR="00B9056A" w:rsidRPr="002444D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 xml:space="preserve"> Пограничному</w:t>
      </w:r>
      <w:r w:rsidR="00B9056A" w:rsidRPr="002444DB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району - </w:t>
      </w:r>
      <w:r w:rsidR="00B9056A" w:rsidRPr="002444DB">
        <w:rPr>
          <w:rFonts w:ascii="Times New Roman" w:hAnsi="Times New Roman" w:cs="Times New Roman"/>
          <w:sz w:val="32"/>
          <w:szCs w:val="32"/>
        </w:rPr>
        <w:t>5,8 млн рублей</w:t>
      </w:r>
      <w:r w:rsidR="008875BC" w:rsidRPr="002444DB">
        <w:rPr>
          <w:rFonts w:ascii="Times New Roman" w:hAnsi="Times New Roman" w:cs="Times New Roman"/>
          <w:sz w:val="32"/>
          <w:szCs w:val="32"/>
        </w:rPr>
        <w:t xml:space="preserve">, </w:t>
      </w:r>
      <w:r w:rsidR="008875BC" w:rsidRPr="002444DB">
        <w:rPr>
          <w:rFonts w:ascii="Times New Roman" w:hAnsi="Times New Roman" w:cs="Times New Roman"/>
          <w:b/>
          <w:sz w:val="32"/>
          <w:szCs w:val="32"/>
        </w:rPr>
        <w:t xml:space="preserve">Хорольскому </w:t>
      </w:r>
      <w:r w:rsidR="008875BC" w:rsidRPr="002444DB">
        <w:rPr>
          <w:rFonts w:ascii="Times New Roman" w:hAnsi="Times New Roman" w:cs="Times New Roman"/>
          <w:sz w:val="32"/>
          <w:szCs w:val="32"/>
        </w:rPr>
        <w:t xml:space="preserve">району – 8,0 млн рублей, </w:t>
      </w:r>
      <w:r w:rsidR="008875BC" w:rsidRPr="002444DB">
        <w:rPr>
          <w:rFonts w:ascii="Times New Roman" w:hAnsi="Times New Roman" w:cs="Times New Roman"/>
          <w:b/>
          <w:sz w:val="32"/>
          <w:szCs w:val="32"/>
        </w:rPr>
        <w:t xml:space="preserve">Черниговскому </w:t>
      </w:r>
      <w:r w:rsidR="008875BC" w:rsidRPr="002444DB">
        <w:rPr>
          <w:rFonts w:ascii="Times New Roman" w:hAnsi="Times New Roman" w:cs="Times New Roman"/>
          <w:sz w:val="32"/>
          <w:szCs w:val="32"/>
        </w:rPr>
        <w:t>району 18</w:t>
      </w:r>
      <w:r w:rsidR="000B7C88" w:rsidRPr="002444DB">
        <w:rPr>
          <w:rFonts w:ascii="Times New Roman" w:hAnsi="Times New Roman" w:cs="Times New Roman"/>
          <w:sz w:val="32"/>
          <w:szCs w:val="32"/>
        </w:rPr>
        <w:t xml:space="preserve">,5 млн </w:t>
      </w:r>
      <w:r w:rsidR="008875BC" w:rsidRPr="002444DB">
        <w:rPr>
          <w:rFonts w:ascii="Times New Roman" w:hAnsi="Times New Roman" w:cs="Times New Roman"/>
          <w:sz w:val="32"/>
          <w:szCs w:val="32"/>
        </w:rPr>
        <w:t>рублей,</w:t>
      </w:r>
      <w:r w:rsidR="000B7C88"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0B7C88" w:rsidRPr="002444DB">
        <w:rPr>
          <w:rFonts w:ascii="Times New Roman" w:hAnsi="Times New Roman" w:cs="Times New Roman"/>
          <w:b/>
          <w:sz w:val="32"/>
          <w:szCs w:val="32"/>
        </w:rPr>
        <w:t>Кировскому</w:t>
      </w:r>
      <w:r w:rsidR="000B7C88" w:rsidRPr="002444DB">
        <w:rPr>
          <w:rFonts w:ascii="Times New Roman" w:hAnsi="Times New Roman" w:cs="Times New Roman"/>
          <w:sz w:val="32"/>
          <w:szCs w:val="32"/>
        </w:rPr>
        <w:t xml:space="preserve"> району - 8,5 млн рублей,</w:t>
      </w:r>
      <w:r w:rsidR="00BA7EB6" w:rsidRPr="002444DB">
        <w:rPr>
          <w:rFonts w:ascii="Times New Roman" w:hAnsi="Times New Roman" w:cs="Times New Roman"/>
          <w:sz w:val="32"/>
          <w:szCs w:val="32"/>
        </w:rPr>
        <w:t xml:space="preserve"> Надеждинскому району </w:t>
      </w:r>
      <w:r w:rsidR="006B1E1E" w:rsidRPr="002444DB">
        <w:rPr>
          <w:rFonts w:ascii="Times New Roman" w:hAnsi="Times New Roman" w:cs="Times New Roman"/>
          <w:sz w:val="32"/>
          <w:szCs w:val="32"/>
        </w:rPr>
        <w:t>–</w:t>
      </w:r>
      <w:r w:rsidR="00BA7EB6"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EF6C48" w:rsidRPr="002444DB">
        <w:rPr>
          <w:rFonts w:ascii="Times New Roman" w:hAnsi="Times New Roman" w:cs="Times New Roman"/>
          <w:sz w:val="32"/>
          <w:szCs w:val="32"/>
        </w:rPr>
        <w:t>22</w:t>
      </w:r>
      <w:r w:rsidR="006B1E1E" w:rsidRPr="002444DB">
        <w:rPr>
          <w:rFonts w:ascii="Times New Roman" w:hAnsi="Times New Roman" w:cs="Times New Roman"/>
          <w:sz w:val="32"/>
          <w:szCs w:val="32"/>
        </w:rPr>
        <w:t>,</w:t>
      </w:r>
      <w:r w:rsidR="00EF6C48" w:rsidRPr="002444DB">
        <w:rPr>
          <w:rFonts w:ascii="Times New Roman" w:hAnsi="Times New Roman" w:cs="Times New Roman"/>
          <w:sz w:val="32"/>
          <w:szCs w:val="32"/>
        </w:rPr>
        <w:t xml:space="preserve">0  </w:t>
      </w:r>
      <w:r w:rsidR="006B1E1E" w:rsidRPr="002444DB">
        <w:rPr>
          <w:rFonts w:ascii="Times New Roman" w:hAnsi="Times New Roman" w:cs="Times New Roman"/>
          <w:sz w:val="32"/>
          <w:szCs w:val="32"/>
        </w:rPr>
        <w:t xml:space="preserve"> млн рублей.</w:t>
      </w:r>
    </w:p>
    <w:p w:rsidR="00035132" w:rsidRPr="002444DB" w:rsidRDefault="00035132" w:rsidP="00BB70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t xml:space="preserve">При анализе </w:t>
      </w:r>
      <w:r w:rsidR="00CF3312" w:rsidRPr="002444DB">
        <w:rPr>
          <w:rFonts w:ascii="Times New Roman" w:hAnsi="Times New Roman" w:cs="Times New Roman"/>
          <w:sz w:val="32"/>
          <w:szCs w:val="32"/>
        </w:rPr>
        <w:t xml:space="preserve">полноты и  своевременности </w:t>
      </w:r>
      <w:r w:rsidRPr="002444DB">
        <w:rPr>
          <w:rFonts w:ascii="Times New Roman" w:hAnsi="Times New Roman" w:cs="Times New Roman"/>
          <w:sz w:val="32"/>
          <w:szCs w:val="32"/>
        </w:rPr>
        <w:t xml:space="preserve"> поступления доходов от использования имущества</w:t>
      </w:r>
      <w:r w:rsidR="00CF3312" w:rsidRPr="002444DB">
        <w:rPr>
          <w:rFonts w:ascii="Times New Roman" w:hAnsi="Times New Roman" w:cs="Times New Roman"/>
          <w:sz w:val="32"/>
          <w:szCs w:val="32"/>
        </w:rPr>
        <w:t xml:space="preserve"> выявлено следующее.</w:t>
      </w:r>
    </w:p>
    <w:p w:rsidR="00CC33AB" w:rsidRPr="002444DB" w:rsidRDefault="00CC33AB" w:rsidP="00BB70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t>Реестр</w:t>
      </w:r>
      <w:r w:rsidR="008E79AC" w:rsidRPr="002444DB">
        <w:rPr>
          <w:rFonts w:ascii="Times New Roman" w:hAnsi="Times New Roman" w:cs="Times New Roman"/>
          <w:sz w:val="32"/>
          <w:szCs w:val="32"/>
        </w:rPr>
        <w:t>ы</w:t>
      </w:r>
      <w:r w:rsidRPr="002444DB">
        <w:rPr>
          <w:rFonts w:ascii="Times New Roman" w:hAnsi="Times New Roman" w:cs="Times New Roman"/>
          <w:sz w:val="32"/>
          <w:szCs w:val="32"/>
        </w:rPr>
        <w:t xml:space="preserve"> имущества сформирован</w:t>
      </w:r>
      <w:r w:rsidR="008E79AC" w:rsidRPr="002444DB">
        <w:rPr>
          <w:rFonts w:ascii="Times New Roman" w:hAnsi="Times New Roman" w:cs="Times New Roman"/>
          <w:sz w:val="32"/>
          <w:szCs w:val="32"/>
        </w:rPr>
        <w:t>ы</w:t>
      </w:r>
      <w:r w:rsidRPr="002444DB">
        <w:rPr>
          <w:rFonts w:ascii="Times New Roman" w:hAnsi="Times New Roman" w:cs="Times New Roman"/>
          <w:sz w:val="32"/>
          <w:szCs w:val="32"/>
        </w:rPr>
        <w:t xml:space="preserve"> с нарушением Порядка ведения органами местного самоуправления реестров муниципального имущества</w:t>
      </w:r>
      <w:r w:rsidR="008E79AC"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3D30B1" w:rsidRPr="002444DB">
        <w:rPr>
          <w:rFonts w:ascii="Times New Roman" w:hAnsi="Times New Roman" w:cs="Times New Roman"/>
          <w:sz w:val="32"/>
          <w:szCs w:val="32"/>
        </w:rPr>
        <w:t>во всех проверенных районах</w:t>
      </w:r>
      <w:r w:rsidR="008E79AC" w:rsidRPr="002444DB">
        <w:rPr>
          <w:rFonts w:ascii="Times New Roman" w:hAnsi="Times New Roman" w:cs="Times New Roman"/>
          <w:sz w:val="32"/>
          <w:szCs w:val="32"/>
        </w:rPr>
        <w:t>.</w:t>
      </w:r>
    </w:p>
    <w:p w:rsidR="00ED55C0" w:rsidRPr="002444DB" w:rsidRDefault="00BB705A" w:rsidP="00BB7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 нарушение ФЗ</w:t>
      </w:r>
      <w:r w:rsidR="008E79AC" w:rsidRPr="002444DB">
        <w:rPr>
          <w:rFonts w:ascii="Times New Roman" w:hAnsi="Times New Roman" w:cs="Times New Roman"/>
          <w:sz w:val="32"/>
          <w:szCs w:val="32"/>
        </w:rPr>
        <w:t xml:space="preserve"> "Об оценочной дея</w:t>
      </w:r>
      <w:r>
        <w:rPr>
          <w:rFonts w:ascii="Times New Roman" w:hAnsi="Times New Roman" w:cs="Times New Roman"/>
          <w:sz w:val="32"/>
          <w:szCs w:val="32"/>
        </w:rPr>
        <w:t>тельности в РФ</w:t>
      </w:r>
      <w:r w:rsidR="008E79AC" w:rsidRPr="002444DB">
        <w:rPr>
          <w:rFonts w:ascii="Times New Roman" w:hAnsi="Times New Roman" w:cs="Times New Roman"/>
          <w:sz w:val="32"/>
          <w:szCs w:val="32"/>
        </w:rPr>
        <w:t xml:space="preserve">" не проводилась оценка отдельных объектов аренды в </w:t>
      </w:r>
      <w:r w:rsidR="008E79AC" w:rsidRPr="002444DB">
        <w:rPr>
          <w:rFonts w:ascii="Times New Roman" w:hAnsi="Times New Roman" w:cs="Times New Roman"/>
          <w:b/>
          <w:sz w:val="32"/>
          <w:szCs w:val="32"/>
        </w:rPr>
        <w:t>Михайловском</w:t>
      </w:r>
      <w:r w:rsidR="008060E7" w:rsidRPr="002444DB">
        <w:rPr>
          <w:rFonts w:ascii="Times New Roman" w:hAnsi="Times New Roman" w:cs="Times New Roman"/>
          <w:b/>
          <w:sz w:val="32"/>
          <w:szCs w:val="32"/>
        </w:rPr>
        <w:t>,</w:t>
      </w:r>
      <w:r w:rsidR="008E79AC"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8E79AC" w:rsidRPr="002444DB">
        <w:rPr>
          <w:rFonts w:ascii="Times New Roman" w:hAnsi="Times New Roman" w:cs="Times New Roman"/>
          <w:b/>
          <w:sz w:val="32"/>
          <w:szCs w:val="32"/>
        </w:rPr>
        <w:t xml:space="preserve">Хорольском </w:t>
      </w:r>
      <w:r w:rsidR="008060E7" w:rsidRPr="002444DB">
        <w:rPr>
          <w:rFonts w:ascii="Times New Roman" w:hAnsi="Times New Roman" w:cs="Times New Roman"/>
          <w:b/>
          <w:sz w:val="32"/>
          <w:szCs w:val="32"/>
        </w:rPr>
        <w:t xml:space="preserve">и Черниговском </w:t>
      </w:r>
      <w:r w:rsidR="00700B53" w:rsidRPr="002444DB">
        <w:rPr>
          <w:rFonts w:ascii="Times New Roman" w:hAnsi="Times New Roman" w:cs="Times New Roman"/>
          <w:sz w:val="32"/>
          <w:szCs w:val="32"/>
        </w:rPr>
        <w:t xml:space="preserve">районах, </w:t>
      </w:r>
      <w:r w:rsidR="00700B53" w:rsidRPr="002444D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Пограничный</w:t>
      </w:r>
      <w:r w:rsidR="00700B53" w:rsidRPr="002444DB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район не воспользовался результатами оценки рыночно-обоснованной величины арендной платы, произведе</w:t>
      </w:r>
      <w:r w:rsidR="00CB412E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нной по состоянию на 11</w:t>
      </w:r>
      <w:r w:rsidR="00CB412E">
        <w:rPr>
          <w:rFonts w:ascii="Times New Roman" w:eastAsia="Times New Roman" w:hAnsi="Times New Roman" w:cs="Times New Roman"/>
          <w:sz w:val="32"/>
          <w:szCs w:val="32"/>
          <w:lang w:eastAsia="ru-RU"/>
        </w:rPr>
        <w:t>.09.</w:t>
      </w:r>
      <w:r w:rsidR="00700B53" w:rsidRPr="002444DB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2015</w:t>
      </w:r>
      <w:r w:rsidR="00700B53"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B71894" w:rsidRDefault="00562EE4" w:rsidP="00BB7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t>За отдельными арендаторами муниципального имущества в Михайловском районе числится задолженность - 439,8 тыс. рублей</w:t>
      </w:r>
      <w:r w:rsidR="009C1A21" w:rsidRPr="002444DB">
        <w:rPr>
          <w:rFonts w:ascii="Times New Roman" w:hAnsi="Times New Roman" w:cs="Times New Roman"/>
          <w:sz w:val="32"/>
          <w:szCs w:val="32"/>
        </w:rPr>
        <w:t>, Черниговском – 1,9 млн рублей, Октябрьском – 289,0 тыс. рублей, Пограничном -214,7 тыс. рублей</w:t>
      </w:r>
      <w:r w:rsidR="008060E7" w:rsidRPr="002444DB">
        <w:rPr>
          <w:rFonts w:ascii="Times New Roman" w:hAnsi="Times New Roman" w:cs="Times New Roman"/>
          <w:sz w:val="32"/>
          <w:szCs w:val="32"/>
        </w:rPr>
        <w:t>.</w:t>
      </w:r>
    </w:p>
    <w:p w:rsidR="008060E7" w:rsidRPr="002444DB" w:rsidRDefault="008060E7" w:rsidP="00BB7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hAnsi="Times New Roman" w:cs="Times New Roman"/>
          <w:sz w:val="32"/>
          <w:szCs w:val="32"/>
        </w:rPr>
        <w:t xml:space="preserve">Не начислялись пени за несвоевременное внесение арендной платы за земельные участки и муниципальное имущество в Михайловском </w:t>
      </w:r>
      <w:r w:rsidR="00ED55C0" w:rsidRPr="002444DB">
        <w:rPr>
          <w:rFonts w:ascii="Times New Roman" w:hAnsi="Times New Roman" w:cs="Times New Roman"/>
          <w:sz w:val="32"/>
          <w:szCs w:val="32"/>
        </w:rPr>
        <w:t xml:space="preserve">и Пограничном районах. </w:t>
      </w:r>
    </w:p>
    <w:p w:rsidR="00ED55C0" w:rsidRPr="002444DB" w:rsidRDefault="00ED55C0" w:rsidP="00BB7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соответствие с условиями заключенных договоров</w:t>
      </w:r>
      <w:r w:rsidR="00B7189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администрациями районов не принимались меры по поступлению доходов путем увеличения арендной платы в Пограничном, Хорольском, Черниговском районах. </w:t>
      </w:r>
    </w:p>
    <w:p w:rsidR="00ED55C0" w:rsidRPr="002444DB" w:rsidRDefault="00ED55C0" w:rsidP="00CF3312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</w:t>
      </w:r>
      <w:r w:rsidR="00B154AA"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установлены размер, сроки и порядок перечисления муниципальным предприятием в бюджет </w:t>
      </w:r>
      <w:r w:rsidR="00B154AA"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Октябрьского 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района части прибыли, остающейся в распоряжении предприятия после уплаты налогов и иных обязательных платежей.  </w:t>
      </w:r>
      <w:r w:rsidR="00B154AA"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результате </w:t>
      </w:r>
      <w:r w:rsidR="00B154AA"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потери 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ar-SA"/>
        </w:rPr>
        <w:t>бюджет</w:t>
      </w:r>
      <w:r w:rsidR="00B154AA" w:rsidRPr="002444DB">
        <w:rPr>
          <w:rFonts w:ascii="Times New Roman" w:eastAsia="Times New Roman" w:hAnsi="Times New Roman" w:cs="Times New Roman"/>
          <w:sz w:val="32"/>
          <w:szCs w:val="32"/>
          <w:lang w:eastAsia="ar-SA"/>
        </w:rPr>
        <w:t>а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района в 2015 году ориентировочно </w:t>
      </w:r>
      <w:r w:rsidR="00B154AA" w:rsidRPr="002444D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составили 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ar-SA"/>
        </w:rPr>
        <w:t>1,8 млн рублей.</w:t>
      </w:r>
    </w:p>
    <w:p w:rsidR="00B154AA" w:rsidRPr="002444DB" w:rsidRDefault="00B154AA" w:rsidP="00CF3312">
      <w:pPr>
        <w:spacing w:after="120" w:line="360" w:lineRule="auto"/>
        <w:ind w:right="-99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BB705A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нарушение Ф</w:t>
      </w:r>
      <w:r w:rsidR="00BB705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2444DB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"О государственных и муниципальных унитарных предприятиях" в 2015 году в бюджет 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Пограничного района </w:t>
      </w:r>
      <w:r w:rsidRPr="002444DB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МУП "Приморье" не перечислена часть прибыли в сумме </w:t>
      </w:r>
      <w:r w:rsidRPr="002444DB"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ru-RU"/>
        </w:rPr>
        <w:t>186,0</w:t>
      </w:r>
      <w:r w:rsidRPr="002444DB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тыс. рублей.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54AA" w:rsidRPr="002444DB" w:rsidRDefault="00B154AA" w:rsidP="00CF3312">
      <w:pPr>
        <w:spacing w:after="120" w:line="360" w:lineRule="auto"/>
        <w:ind w:right="-9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вышесказанного следует, что Управлениями и отделами имущественных и земельных отношений </w:t>
      </w:r>
      <w:r w:rsidR="00086DB4"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администраций районов </w:t>
      </w:r>
      <w:r w:rsidRPr="0024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 полной мере и не на должном уровне осуществляется контроль за  </w:t>
      </w:r>
      <w:r w:rsidRPr="002444DB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</w:t>
      </w:r>
      <w:r w:rsidR="00CF3312" w:rsidRPr="002444DB">
        <w:rPr>
          <w:rFonts w:ascii="Times New Roman" w:hAnsi="Times New Roman" w:cs="Times New Roman"/>
          <w:sz w:val="32"/>
          <w:szCs w:val="32"/>
        </w:rPr>
        <w:t>полнотой и своевременностью поступления доходов от использования имущества.</w:t>
      </w:r>
    </w:p>
    <w:p w:rsidR="00B71894" w:rsidRDefault="00CB412E" w:rsidP="0081277B">
      <w:pPr>
        <w:spacing w:after="120" w:line="360" w:lineRule="auto"/>
        <w:ind w:right="-9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нашему мнению, в</w:t>
      </w:r>
      <w:r w:rsidR="00CF3312" w:rsidRPr="002444DB">
        <w:rPr>
          <w:rFonts w:ascii="Times New Roman" w:hAnsi="Times New Roman" w:cs="Times New Roman"/>
          <w:sz w:val="32"/>
          <w:szCs w:val="32"/>
        </w:rPr>
        <w:t xml:space="preserve"> </w:t>
      </w:r>
      <w:r w:rsidR="00537033" w:rsidRPr="002444DB">
        <w:rPr>
          <w:rFonts w:ascii="Times New Roman" w:hAnsi="Times New Roman" w:cs="Times New Roman"/>
          <w:sz w:val="32"/>
          <w:szCs w:val="32"/>
        </w:rPr>
        <w:t xml:space="preserve">сложных </w:t>
      </w:r>
      <w:r w:rsidR="00B71894">
        <w:rPr>
          <w:rFonts w:ascii="Times New Roman" w:hAnsi="Times New Roman" w:cs="Times New Roman"/>
          <w:sz w:val="32"/>
          <w:szCs w:val="32"/>
        </w:rPr>
        <w:t>э</w:t>
      </w:r>
      <w:r w:rsidR="00CF3312" w:rsidRPr="002444DB">
        <w:rPr>
          <w:rFonts w:ascii="Times New Roman" w:hAnsi="Times New Roman" w:cs="Times New Roman"/>
          <w:sz w:val="32"/>
          <w:szCs w:val="32"/>
        </w:rPr>
        <w:t>кономических условиях</w:t>
      </w:r>
      <w:r w:rsidR="00537033" w:rsidRPr="002444DB">
        <w:rPr>
          <w:rFonts w:ascii="Times New Roman" w:hAnsi="Times New Roman" w:cs="Times New Roman"/>
          <w:sz w:val="32"/>
          <w:szCs w:val="32"/>
        </w:rPr>
        <w:t xml:space="preserve"> необходимо уделять особое внимание контролю за исполнением доходной части муниципальных бюджетов и в полной мере использовать резервы их пополнения.</w:t>
      </w:r>
      <w:r w:rsidR="0081277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37033" w:rsidRPr="0081277B" w:rsidRDefault="00537033" w:rsidP="0081277B">
      <w:pPr>
        <w:spacing w:after="120" w:line="360" w:lineRule="auto"/>
        <w:ind w:right="-9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1894">
        <w:rPr>
          <w:rFonts w:ascii="Times New Roman" w:hAnsi="Times New Roman" w:cs="Times New Roman"/>
          <w:sz w:val="32"/>
          <w:szCs w:val="32"/>
        </w:rPr>
        <w:t>Благодарю за внимание.</w:t>
      </w:r>
    </w:p>
    <w:p w:rsidR="00ED55C0" w:rsidRPr="00CF3312" w:rsidRDefault="00ED55C0" w:rsidP="00CF3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55C0" w:rsidRPr="00CF3312" w:rsidSect="00B71894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A4" w:rsidRDefault="00B87AA4" w:rsidP="00CF3312">
      <w:pPr>
        <w:spacing w:after="0" w:line="240" w:lineRule="auto"/>
      </w:pPr>
      <w:r>
        <w:separator/>
      </w:r>
    </w:p>
  </w:endnote>
  <w:endnote w:type="continuationSeparator" w:id="0">
    <w:p w:rsidR="00B87AA4" w:rsidRDefault="00B87AA4" w:rsidP="00CF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A4" w:rsidRDefault="00B87AA4" w:rsidP="00CF3312">
      <w:pPr>
        <w:spacing w:after="0" w:line="240" w:lineRule="auto"/>
      </w:pPr>
      <w:r>
        <w:separator/>
      </w:r>
    </w:p>
  </w:footnote>
  <w:footnote w:type="continuationSeparator" w:id="0">
    <w:p w:rsidR="00B87AA4" w:rsidRDefault="00B87AA4" w:rsidP="00CF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62705"/>
      <w:docPartObj>
        <w:docPartGallery w:val="Page Numbers (Top of Page)"/>
        <w:docPartUnique/>
      </w:docPartObj>
    </w:sdtPr>
    <w:sdtEndPr/>
    <w:sdtContent>
      <w:p w:rsidR="00CF3312" w:rsidRDefault="00CF33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438">
          <w:rPr>
            <w:noProof/>
          </w:rPr>
          <w:t>1</w:t>
        </w:r>
        <w:r>
          <w:fldChar w:fldCharType="end"/>
        </w:r>
      </w:p>
    </w:sdtContent>
  </w:sdt>
  <w:p w:rsidR="00CF3312" w:rsidRDefault="00CF3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7313"/>
    <w:multiLevelType w:val="multilevel"/>
    <w:tmpl w:val="050E5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74611"/>
    <w:multiLevelType w:val="multilevel"/>
    <w:tmpl w:val="050E5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86"/>
    <w:rsid w:val="00035132"/>
    <w:rsid w:val="00086DB4"/>
    <w:rsid w:val="000B7C88"/>
    <w:rsid w:val="001773FE"/>
    <w:rsid w:val="001F69D9"/>
    <w:rsid w:val="002444DB"/>
    <w:rsid w:val="00306438"/>
    <w:rsid w:val="00321AC9"/>
    <w:rsid w:val="00397398"/>
    <w:rsid w:val="003C1901"/>
    <w:rsid w:val="003D30B1"/>
    <w:rsid w:val="003E16C9"/>
    <w:rsid w:val="00526D07"/>
    <w:rsid w:val="00537033"/>
    <w:rsid w:val="00562EE4"/>
    <w:rsid w:val="00600706"/>
    <w:rsid w:val="006B1E1E"/>
    <w:rsid w:val="006C32C2"/>
    <w:rsid w:val="00700B53"/>
    <w:rsid w:val="007D2905"/>
    <w:rsid w:val="008060E7"/>
    <w:rsid w:val="0081277B"/>
    <w:rsid w:val="00843636"/>
    <w:rsid w:val="00863389"/>
    <w:rsid w:val="008875BC"/>
    <w:rsid w:val="008E79AC"/>
    <w:rsid w:val="0095504F"/>
    <w:rsid w:val="009C1A21"/>
    <w:rsid w:val="009C2B61"/>
    <w:rsid w:val="00A2729B"/>
    <w:rsid w:val="00A908DD"/>
    <w:rsid w:val="00AB2050"/>
    <w:rsid w:val="00B154AA"/>
    <w:rsid w:val="00B564A4"/>
    <w:rsid w:val="00B60008"/>
    <w:rsid w:val="00B71894"/>
    <w:rsid w:val="00B87AA4"/>
    <w:rsid w:val="00B90101"/>
    <w:rsid w:val="00B9056A"/>
    <w:rsid w:val="00B96D19"/>
    <w:rsid w:val="00BA7EB6"/>
    <w:rsid w:val="00BB705A"/>
    <w:rsid w:val="00CB2D41"/>
    <w:rsid w:val="00CB412E"/>
    <w:rsid w:val="00CC33AB"/>
    <w:rsid w:val="00CF3312"/>
    <w:rsid w:val="00D451DF"/>
    <w:rsid w:val="00D9204D"/>
    <w:rsid w:val="00DC345F"/>
    <w:rsid w:val="00DD4086"/>
    <w:rsid w:val="00DF68CB"/>
    <w:rsid w:val="00E51146"/>
    <w:rsid w:val="00E94C9B"/>
    <w:rsid w:val="00ED55C0"/>
    <w:rsid w:val="00E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4CB97-F6D8-48FB-B101-BF2AF9B4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451DF"/>
    <w:rPr>
      <w:color w:val="000088"/>
      <w:u w:val="single"/>
    </w:rPr>
  </w:style>
  <w:style w:type="paragraph" w:styleId="a4">
    <w:name w:val="footnote text"/>
    <w:basedOn w:val="a"/>
    <w:link w:val="a5"/>
    <w:uiPriority w:val="99"/>
    <w:unhideWhenUsed/>
    <w:rsid w:val="00D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45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51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321AC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90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312"/>
  </w:style>
  <w:style w:type="paragraph" w:styleId="ab">
    <w:name w:val="footer"/>
    <w:basedOn w:val="a"/>
    <w:link w:val="ac"/>
    <w:uiPriority w:val="99"/>
    <w:unhideWhenUsed/>
    <w:rsid w:val="00CF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F05C-FD4F-48BF-9E37-B7A8C442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Инга В. Солодовник</cp:lastModifiedBy>
  <cp:revision>2</cp:revision>
  <cp:lastPrinted>2016-11-16T07:20:00Z</cp:lastPrinted>
  <dcterms:created xsi:type="dcterms:W3CDTF">2016-11-20T23:28:00Z</dcterms:created>
  <dcterms:modified xsi:type="dcterms:W3CDTF">2016-11-20T23:28:00Z</dcterms:modified>
</cp:coreProperties>
</file>