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4BFD0" w14:textId="5E04E289" w:rsidR="006A6F7E" w:rsidRPr="007B6F1A" w:rsidRDefault="006A6F7E" w:rsidP="00CE2A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1A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CE2A58" w:rsidRPr="007B6F1A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заключения Контрольно-счетной палаты Приморского края на </w:t>
      </w:r>
      <w:r w:rsidRPr="007B6F1A">
        <w:rPr>
          <w:rFonts w:ascii="Times New Roman" w:eastAsia="Calibri" w:hAnsi="Times New Roman" w:cs="Times New Roman"/>
          <w:b/>
          <w:sz w:val="28"/>
          <w:szCs w:val="28"/>
        </w:rPr>
        <w:t xml:space="preserve">проект </w:t>
      </w:r>
      <w:r w:rsidR="00B344D2" w:rsidRPr="007B6F1A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7B6F1A">
        <w:rPr>
          <w:rFonts w:ascii="Times New Roman" w:eastAsia="Calibri" w:hAnsi="Times New Roman" w:cs="Times New Roman"/>
          <w:b/>
          <w:sz w:val="28"/>
          <w:szCs w:val="28"/>
        </w:rPr>
        <w:t>акона Приморского края "О краевом бюджете на 2021 год и плановый период 2022 и 2023 годов"</w:t>
      </w:r>
    </w:p>
    <w:p w14:paraId="370F4569" w14:textId="77777777" w:rsidR="006A6F7E" w:rsidRPr="007B6F1A" w:rsidRDefault="006A6F7E" w:rsidP="006A6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Calibri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14:paraId="38F739F9" w14:textId="56AA88DC" w:rsidR="006F3B46" w:rsidRPr="007B6F1A" w:rsidRDefault="006F3B46" w:rsidP="006F3B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Заключение Контрольно-счетной палаты на законопроект подготовлено в соответствии с действующим законодательством. </w:t>
      </w:r>
    </w:p>
    <w:p w14:paraId="5FE6A57C" w14:textId="7C7383D9" w:rsidR="00C70211" w:rsidRPr="007B6F1A" w:rsidRDefault="00C70211" w:rsidP="006F3B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действующих условиях неблагоприятной санитарно-эпидемиологической ситуации, повлиявшей на развитие экономических и социальных процессов в Приморском крае, законопроект внесен на рассмотрение Законодательного Собрания Приморского края на месяц позже обычного.</w:t>
      </w:r>
    </w:p>
    <w:p w14:paraId="2E677372" w14:textId="77777777" w:rsidR="004D31D2" w:rsidRPr="007B6F1A" w:rsidRDefault="004D31D2" w:rsidP="004D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Состав основных показателей и характеристик (приложений), представляемых для рассмотрения и утверждения в законопроекте, а также перечень документов и материалов, представленных одновременно с ним, соответствуют </w:t>
      </w:r>
      <w:r w:rsidR="00B344D2" w:rsidRPr="007B6F1A">
        <w:rPr>
          <w:rFonts w:ascii="Times New Roman" w:eastAsia="Calibri" w:hAnsi="Times New Roman" w:cs="Times New Roman"/>
          <w:sz w:val="28"/>
          <w:szCs w:val="28"/>
        </w:rPr>
        <w:t>действующему законодательству</w:t>
      </w:r>
      <w:r w:rsidRPr="007B6F1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F06290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Ситуация в экономике Приморского края в 2018-2019 годах характеризуется умеренными темпами экономического роста. </w:t>
      </w:r>
    </w:p>
    <w:p w14:paraId="0A0237F6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Основные макроэкономические оценочные показатели 2019 года, достигнуты практически по всем показателям, за исключением показателя объем платных услуг населению.</w:t>
      </w:r>
    </w:p>
    <w:p w14:paraId="12297F68" w14:textId="77777777" w:rsidR="004D31D2" w:rsidRPr="007B6F1A" w:rsidRDefault="004D31D2" w:rsidP="004D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В Прогнозе-2021 основные показатели на 2020 год и 2021-2023 годы запланированы ниже показателей предыдущего прогноза, кроме показателей индекса физического объема ВРП и инвестиций в основной капитал. В текущем году прогнозируется спад по всем анализируемым макроэкономическим показателям (кроме показателя инвестиций в основной капитал), что связано с введением ограничительных мер в связи распространением новой коронавирусной инфекции и их поэтапную отмену в дальнейшем. Восстановительный рост отдельных макроэкономических показателей до 2023 года прогнозируется до уровня 2019 года.</w:t>
      </w:r>
    </w:p>
    <w:p w14:paraId="5D09849B" w14:textId="77777777" w:rsidR="004D31D2" w:rsidRPr="007B6F1A" w:rsidRDefault="004D31D2" w:rsidP="004D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В 2020 году оценочный объем ВРП снизится по сравнению с отчетными данными 2019 года до 882837,37 млн рублей. </w:t>
      </w:r>
    </w:p>
    <w:p w14:paraId="5131279E" w14:textId="48FA9ADB" w:rsidR="004D31D2" w:rsidRPr="007B6F1A" w:rsidRDefault="004D31D2" w:rsidP="004D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В 2021 году и плановом периоде 2022 и 2023 годов прогнозируется рост объема ВРП в номинальном выражении (соответственного по годам 935393,99 млн рублей, 994023,47 млн рублей и 1059411,83 млн рублей).</w:t>
      </w:r>
      <w:r w:rsidRPr="007B6F1A">
        <w:rPr>
          <w:rFonts w:ascii="Calibri" w:eastAsia="Calibri" w:hAnsi="Calibri" w:cs="Times New Roman"/>
        </w:rPr>
        <w:t xml:space="preserve"> </w:t>
      </w:r>
    </w:p>
    <w:p w14:paraId="5113A710" w14:textId="6B3E851D" w:rsidR="006F3B46" w:rsidRPr="007B6F1A" w:rsidRDefault="006F3B46" w:rsidP="006F3B4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B6F1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88596B4" wp14:editId="10979A6C">
            <wp:extent cx="5010912" cy="2721254"/>
            <wp:effectExtent l="0" t="0" r="0" b="317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C9B528" w14:textId="77777777" w:rsidR="004D31D2" w:rsidRPr="007B6F1A" w:rsidRDefault="004D31D2" w:rsidP="004D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После спада в 2020 году планируется рост в 2021 - 2023 годах таких основных макроэкономических показателей, как индекс физического объема ВРП, индекс промышленного производства и индекс физического объема инвестиций в основной капитал. </w:t>
      </w:r>
    </w:p>
    <w:p w14:paraId="0637BACB" w14:textId="77777777" w:rsidR="004D31D2" w:rsidRPr="007B6F1A" w:rsidRDefault="004D31D2" w:rsidP="004D3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Введенные в текущем году антикризисные меры направлены на смягчение влияния карантинных мер на экономику</w:t>
      </w:r>
      <w:r w:rsidR="003B48EF" w:rsidRPr="007B6F1A">
        <w:rPr>
          <w:rFonts w:ascii="Times New Roman" w:eastAsia="Calibri" w:hAnsi="Times New Roman" w:cs="Times New Roman"/>
          <w:sz w:val="28"/>
          <w:szCs w:val="28"/>
        </w:rPr>
        <w:t>.</w:t>
      </w: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48EF" w:rsidRPr="007B6F1A">
        <w:rPr>
          <w:rFonts w:ascii="Times New Roman" w:eastAsia="Calibri" w:hAnsi="Times New Roman" w:cs="Times New Roman"/>
          <w:sz w:val="28"/>
          <w:szCs w:val="28"/>
        </w:rPr>
        <w:t>П</w:t>
      </w:r>
      <w:r w:rsidRPr="007B6F1A">
        <w:rPr>
          <w:rFonts w:ascii="Times New Roman" w:eastAsia="Calibri" w:hAnsi="Times New Roman" w:cs="Times New Roman"/>
          <w:sz w:val="28"/>
          <w:szCs w:val="28"/>
        </w:rPr>
        <w:t>адени</w:t>
      </w:r>
      <w:bookmarkStart w:id="0" w:name="_GoBack"/>
      <w:bookmarkEnd w:id="0"/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е доходов в текущем году избежать не удалось. Реально-располагаемые денежные доходы населения в 2020 году к 2019 году составят 96,50 %. </w:t>
      </w:r>
    </w:p>
    <w:p w14:paraId="2305A982" w14:textId="77777777" w:rsidR="004D31D2" w:rsidRPr="007B6F1A" w:rsidRDefault="004D31D2" w:rsidP="004D3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В 2021 - 2023 годах прогнозируется увеличение уровня реальных располагаемых денежных доходов к предыдущему году до 102,20 %, 101,50 % и 102,00 % соответственно по годам.</w:t>
      </w:r>
    </w:p>
    <w:p w14:paraId="2B4496B3" w14:textId="77777777" w:rsidR="004D31D2" w:rsidRPr="007B6F1A" w:rsidRDefault="004D31D2" w:rsidP="004D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основных параметров краевого бюджета на 2021 и 2022 годы характеризуется снижением общего объема доходов и расходов по отношению к предыдущим годам, что в основном связано с сокращением межбюджетных трансфертов субъектам Российской Федерации из федерального бюджета. К 2023 году ожидается восстановление экономики, а в результате рост доходов и расходов краевого бюджет к предыдущему году. </w:t>
      </w:r>
    </w:p>
    <w:p w14:paraId="01562CE5" w14:textId="59290917" w:rsidR="004D31D2" w:rsidRPr="007B6F1A" w:rsidRDefault="004D31D2" w:rsidP="004D3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</w:t>
      </w: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 общий объем доходов краевого бюджета на 2021 год представлен в сумме 139766,25 млн рублей, в плановом периоде общий объем доходов краевого бюджета прогнозируется в сумме 132456,46 млн рублей на 2022 год и 137411,37 млн рублей на 2023 год.</w:t>
      </w:r>
    </w:p>
    <w:p w14:paraId="164EAB92" w14:textId="7ECBEBB2" w:rsidR="006F3B46" w:rsidRPr="007B6F1A" w:rsidRDefault="006F3B46" w:rsidP="007B6F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noProof/>
          <w:lang w:eastAsia="ru-RU"/>
        </w:rPr>
        <w:lastRenderedPageBreak/>
        <w:drawing>
          <wp:inline distT="0" distB="0" distL="0" distR="0" wp14:anchorId="701DFA8E" wp14:editId="6B02B7ED">
            <wp:extent cx="4792980" cy="2697480"/>
            <wp:effectExtent l="0" t="0" r="7620" b="76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204F4D4" w14:textId="77777777" w:rsidR="004D31D2" w:rsidRPr="007B6F1A" w:rsidRDefault="004D31D2" w:rsidP="004D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Расходы краевого бюджета в 2021 году составят 144036,52 млн рублей, на плановый период 2022 года – 134808,24 млн рублей, на 2023 год –138896,20 млн рублей.</w:t>
      </w:r>
    </w:p>
    <w:p w14:paraId="7331463A" w14:textId="77777777" w:rsidR="004D31D2" w:rsidRPr="007B6F1A" w:rsidRDefault="004D31D2" w:rsidP="004D3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Краевой бюджет на трехлетний период сформирован с дефицитом бюджетных средств с последующим ежегодным сокращением его размера и составит в 2021 году 4270,27 млн рублей, в 2022 году – 2351,78 млн рублей и в 2023 году – 1484,83 млн рублей. </w:t>
      </w:r>
    </w:p>
    <w:p w14:paraId="325B231E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расходов в 2021 году по отношению к уровню текущего года составляет 13,91 %, или 23274,38 млн рублей. </w:t>
      </w:r>
    </w:p>
    <w:p w14:paraId="6D5F0445" w14:textId="77777777" w:rsidR="004D31D2" w:rsidRPr="007B6F1A" w:rsidRDefault="004D31D2" w:rsidP="004D3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разделов бюджетной классификации расходов из 14 разделов на 2021 год планируется сокращение расходов по 11 разделам, увеличение по 3. </w:t>
      </w:r>
    </w:p>
    <w:p w14:paraId="7133CB1E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бюджет остается социально-ориентированным. На 2021 год доля расходов, направленных на социально-культурную сферу, составит 63,14 % от общей суммы расходов (в 2020 году – 60,59 %). Доля расходов по остальным разделам составит от 0,02 % (национальная оборона) до 19,99 % (национальная экономика). </w:t>
      </w:r>
    </w:p>
    <w:p w14:paraId="6B042812" w14:textId="77777777" w:rsidR="004D31D2" w:rsidRPr="007B6F1A" w:rsidRDefault="004D31D2" w:rsidP="004D3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В законопроекте в ведомственной классификации расходы на 2021 год распределены по 43 главным распорядителям бюджетных средств. </w:t>
      </w:r>
    </w:p>
    <w:p w14:paraId="19822337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планируемый объем расходов краевого бюджета (73,42 %) приходится на четыре ГРБС: </w:t>
      </w:r>
    </w:p>
    <w:p w14:paraId="308DC561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Приморского края (22,93 %); </w:t>
      </w:r>
    </w:p>
    <w:p w14:paraId="49D9F041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труда и социальной политики Приморского края (20,03 %); </w:t>
      </w:r>
    </w:p>
    <w:p w14:paraId="48E2DB88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Приморского края (16,80 %);</w:t>
      </w:r>
    </w:p>
    <w:p w14:paraId="420CDC27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транспорта и дорожного хозяйства Приморского края (13,66 %). </w:t>
      </w:r>
    </w:p>
    <w:p w14:paraId="0266A5A7" w14:textId="1D3215AA" w:rsidR="004D31D2" w:rsidRPr="007B6F1A" w:rsidRDefault="004D31D2" w:rsidP="004D3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На 2021 год по сравнению с предыдущим годом увеличение расходов планируется по 27 ГРБС, по 16 ГРБС сокращение. </w:t>
      </w:r>
    </w:p>
    <w:p w14:paraId="62EA0EF3" w14:textId="0E7B666D" w:rsidR="007B6F1A" w:rsidRPr="007B6F1A" w:rsidRDefault="007B6F1A" w:rsidP="007B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программной структуре краевой бюджет на трехлетний период сформирован на основе 20 государственных программ Приморского края. </w:t>
      </w:r>
    </w:p>
    <w:p w14:paraId="2F151042" w14:textId="561D7158" w:rsidR="007B6F1A" w:rsidRPr="007B6F1A" w:rsidRDefault="007B6F1A" w:rsidP="007B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20DBE" w14:textId="4DA81E30" w:rsidR="007B6F1A" w:rsidRPr="007B6F1A" w:rsidRDefault="007B6F1A" w:rsidP="007B6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noProof/>
          <w:lang w:eastAsia="ru-RU"/>
        </w:rPr>
        <w:lastRenderedPageBreak/>
        <w:drawing>
          <wp:inline distT="0" distB="0" distL="0" distR="0" wp14:anchorId="459AE750" wp14:editId="7F3510C0">
            <wp:extent cx="6233160" cy="4602480"/>
            <wp:effectExtent l="0" t="0" r="0" b="762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4C7BD5" w14:textId="77777777" w:rsidR="007B6F1A" w:rsidRPr="007B6F1A" w:rsidRDefault="007B6F1A" w:rsidP="007B6F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программных расходов краевого бюджета в 2021 году составила 96,78 %, или 139400,85 млн рублей, непрограммных направлений деятельности органов государственной власти – 3,22 %, или 4635,67 млн рублей. На плановый период 2022 года – соответственно 97,50 % и 2,50 %, 2023 года – 97,52 % и 2,48 %.</w:t>
      </w:r>
    </w:p>
    <w:p w14:paraId="36EDB735" w14:textId="77777777" w:rsidR="004D31D2" w:rsidRPr="007B6F1A" w:rsidRDefault="004D31D2" w:rsidP="004D3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Законопроектом на очередной финансовый год планируется финансирование мероприятий 11 национальных проектов, реализуемых через 39 федеральных проектов, встроенных в структуру 16 государственных программ, на общую сумму 18408,60 млн рублей, что ниже на 401,03 млн рублей, чем в 2020 году. </w:t>
      </w:r>
    </w:p>
    <w:p w14:paraId="589A474B" w14:textId="77777777" w:rsidR="004D31D2" w:rsidRPr="007B6F1A" w:rsidRDefault="004D31D2" w:rsidP="004D31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На 2022 и 2023 годы в 14 ГП на реализацию мероприятий 11 НП через 37 ФП запланировано 16124,98 млн рублей и 17015,55 млн рублей соответственно.</w:t>
      </w:r>
    </w:p>
    <w:p w14:paraId="31ADED53" w14:textId="6256F243" w:rsidR="004D31D2" w:rsidRPr="007B6F1A" w:rsidRDefault="004D31D2" w:rsidP="003B48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палата по результатам анализа включения мероприятий для реализации национальных проектов предлагает органам исполнительной власти обратить внимание </w:t>
      </w:r>
      <w:r w:rsidR="006F3B46" w:rsidRPr="007B6F1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B48EF" w:rsidRPr="007B6F1A">
        <w:rPr>
          <w:rFonts w:ascii="Times New Roman" w:eastAsia="Calibri" w:hAnsi="Times New Roman" w:cs="Times New Roman"/>
          <w:sz w:val="28"/>
          <w:szCs w:val="28"/>
        </w:rPr>
        <w:t>выявленные недостатки перед принятием законопроекта.</w:t>
      </w:r>
      <w:r w:rsidRPr="007B6F1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8766443" w14:textId="77777777" w:rsidR="004D31D2" w:rsidRPr="007B6F1A" w:rsidRDefault="004D31D2" w:rsidP="004D3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Calibri" w:hAnsi="Times New Roman" w:cs="Times New Roman"/>
          <w:sz w:val="28"/>
          <w:szCs w:val="28"/>
        </w:rPr>
        <w:t>Контрольно-счетной палатой проанализирована реализация отдельных мероприятий, направленных на обеспечение социальной сферы, в том числе на исполнение майских Указов Президента Российской Федерации</w:t>
      </w:r>
      <w:r w:rsidR="003B48EF" w:rsidRPr="007B6F1A">
        <w:rPr>
          <w:rFonts w:ascii="Times New Roman" w:eastAsia="Calibri" w:hAnsi="Times New Roman" w:cs="Times New Roman"/>
          <w:sz w:val="28"/>
          <w:szCs w:val="28"/>
        </w:rPr>
        <w:t xml:space="preserve"> и даны рекомендации.</w:t>
      </w:r>
    </w:p>
    <w:p w14:paraId="760CD484" w14:textId="77777777" w:rsidR="004D31D2" w:rsidRPr="007B6F1A" w:rsidRDefault="004D31D2" w:rsidP="004D31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анализа законопроекта нарушений в текстовых статьях, препятствующих его рассмотрению на заседании Законодательного Собрания, не выявлено.</w:t>
      </w:r>
    </w:p>
    <w:p w14:paraId="6541CDF4" w14:textId="77777777" w:rsidR="004D31D2" w:rsidRPr="004D31D2" w:rsidRDefault="004D31D2" w:rsidP="004D31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Приморского края полагает необходимым учесть замечания и предложения, содержащиеся в заключении, при рассмотрении законопроекта.</w:t>
      </w:r>
      <w:r w:rsidRPr="004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1D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2886E92D" w14:textId="77777777" w:rsidR="004D31D2" w:rsidRPr="004D31D2" w:rsidRDefault="004D31D2" w:rsidP="004D31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AAC2D86" w14:textId="77777777" w:rsidR="004D31D2" w:rsidRPr="004D31D2" w:rsidRDefault="004D31D2" w:rsidP="004D31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5B6724" w14:textId="77777777" w:rsidR="004D31D2" w:rsidRPr="004D31D2" w:rsidRDefault="004D31D2" w:rsidP="004D31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90946A" w14:textId="77777777" w:rsidR="004D31D2" w:rsidRPr="004D31D2" w:rsidRDefault="004D31D2" w:rsidP="004D31D2">
      <w:pPr>
        <w:spacing w:after="200" w:line="276" w:lineRule="auto"/>
        <w:rPr>
          <w:rFonts w:ascii="Calibri" w:eastAsia="Calibri" w:hAnsi="Calibri" w:cs="Times New Roman"/>
        </w:rPr>
      </w:pPr>
    </w:p>
    <w:p w14:paraId="289A7329" w14:textId="77777777" w:rsidR="001A48A0" w:rsidRDefault="001A48A0"/>
    <w:sectPr w:rsidR="001A48A0" w:rsidSect="004B6D06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EC635" w14:textId="77777777" w:rsidR="00E61412" w:rsidRDefault="00E61412" w:rsidP="003B48EF">
      <w:pPr>
        <w:spacing w:after="0" w:line="240" w:lineRule="auto"/>
      </w:pPr>
      <w:r>
        <w:separator/>
      </w:r>
    </w:p>
  </w:endnote>
  <w:endnote w:type="continuationSeparator" w:id="0">
    <w:p w14:paraId="636BB415" w14:textId="77777777" w:rsidR="00E61412" w:rsidRDefault="00E61412" w:rsidP="003B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3AB59" w14:textId="77777777" w:rsidR="00E61412" w:rsidRDefault="00E61412" w:rsidP="003B48EF">
      <w:pPr>
        <w:spacing w:after="0" w:line="240" w:lineRule="auto"/>
      </w:pPr>
      <w:r>
        <w:separator/>
      </w:r>
    </w:p>
  </w:footnote>
  <w:footnote w:type="continuationSeparator" w:id="0">
    <w:p w14:paraId="5EBFB1DD" w14:textId="77777777" w:rsidR="00E61412" w:rsidRDefault="00E61412" w:rsidP="003B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716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194EC2" w14:textId="77777777" w:rsidR="003B48EF" w:rsidRPr="003B48EF" w:rsidRDefault="003B48EF">
        <w:pPr>
          <w:pStyle w:val="a3"/>
          <w:jc w:val="center"/>
          <w:rPr>
            <w:rFonts w:ascii="Times New Roman" w:hAnsi="Times New Roman" w:cs="Times New Roman"/>
          </w:rPr>
        </w:pPr>
        <w:r w:rsidRPr="003B48EF">
          <w:rPr>
            <w:rFonts w:ascii="Times New Roman" w:hAnsi="Times New Roman" w:cs="Times New Roman"/>
          </w:rPr>
          <w:fldChar w:fldCharType="begin"/>
        </w:r>
        <w:r w:rsidRPr="003B48EF">
          <w:rPr>
            <w:rFonts w:ascii="Times New Roman" w:hAnsi="Times New Roman" w:cs="Times New Roman"/>
          </w:rPr>
          <w:instrText>PAGE   \* MERGEFORMAT</w:instrText>
        </w:r>
        <w:r w:rsidRPr="003B48EF">
          <w:rPr>
            <w:rFonts w:ascii="Times New Roman" w:hAnsi="Times New Roman" w:cs="Times New Roman"/>
          </w:rPr>
          <w:fldChar w:fldCharType="separate"/>
        </w:r>
        <w:r w:rsidR="004B6D06">
          <w:rPr>
            <w:rFonts w:ascii="Times New Roman" w:hAnsi="Times New Roman" w:cs="Times New Roman"/>
            <w:noProof/>
          </w:rPr>
          <w:t>5</w:t>
        </w:r>
        <w:r w:rsidRPr="003B48E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D78"/>
    <w:rsid w:val="001A48A0"/>
    <w:rsid w:val="003B48EF"/>
    <w:rsid w:val="004B6D06"/>
    <w:rsid w:val="004D31D2"/>
    <w:rsid w:val="00510D78"/>
    <w:rsid w:val="006A6F7E"/>
    <w:rsid w:val="006F3B46"/>
    <w:rsid w:val="007B6F1A"/>
    <w:rsid w:val="00B344D2"/>
    <w:rsid w:val="00C70211"/>
    <w:rsid w:val="00CE2A58"/>
    <w:rsid w:val="00E61412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83D0"/>
  <w15:chartTrackingRefBased/>
  <w15:docId w15:val="{16A7CB37-C2F4-408B-BDD4-63BA9BA4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8EF"/>
  </w:style>
  <w:style w:type="paragraph" w:styleId="a5">
    <w:name w:val="footer"/>
    <w:basedOn w:val="a"/>
    <w:link w:val="a6"/>
    <w:uiPriority w:val="99"/>
    <w:unhideWhenUsed/>
    <w:rsid w:val="003B4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46849272046121"/>
          <c:y val="0.10741501362810418"/>
          <c:w val="0.71888517059472112"/>
          <c:h val="0.65680024479537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врп!$B$1</c:f>
              <c:strCache>
                <c:ptCount val="1"/>
                <c:pt idx="0">
                  <c:v>ВРП (млрд рублей)</c:v>
                </c:pt>
              </c:strCache>
            </c:strRef>
          </c:tx>
          <c:spPr>
            <a:gradFill flip="none" rotWithShape="1">
              <a:gsLst>
                <a:gs pos="50000">
                  <a:srgbClr val="82EEA3"/>
                </a:gs>
                <a:gs pos="0">
                  <a:srgbClr val="24CA38"/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path path="circle">
                <a:fillToRect l="100000" t="100000"/>
              </a:path>
              <a:tileRect r="-100000" b="-100000"/>
            </a:gradFill>
            <a:ln>
              <a:solidFill>
                <a:srgbClr val="82EEA3"/>
              </a:solidFill>
            </a:ln>
          </c:spPr>
          <c:invertIfNegative val="0"/>
          <c:dLbls>
            <c:dLbl>
              <c:idx val="0"/>
              <c:layout>
                <c:manualLayout>
                  <c:x val="1.8653969828600723E-17"/>
                  <c:y val="0.136123872724179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825,03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105006105006105E-3"/>
                  <c:y val="0.173557937723328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0700040700040697E-3"/>
                  <c:y val="0.17015484090522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1400081400081394E-3"/>
                  <c:y val="0.19737961545005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0350020350021094E-3"/>
                  <c:y val="0.234813680449208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350020350020349E-3"/>
                  <c:y val="0.275650842266462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врп!$A$2:$A$7</c:f>
              <c:strCache>
                <c:ptCount val="6"/>
                <c:pt idx="0">
                  <c:v>2018 год (отчет)</c:v>
                </c:pt>
                <c:pt idx="1">
                  <c:v>2019 год (отчет)</c:v>
                </c:pt>
                <c:pt idx="2">
                  <c:v>2020 год (оценка)</c:v>
                </c:pt>
                <c:pt idx="3">
                  <c:v>2021 год (прогн.)</c:v>
                </c:pt>
                <c:pt idx="4">
                  <c:v>2022 год (прогн.)</c:v>
                </c:pt>
                <c:pt idx="5">
                  <c:v>2023 год (прогн.)</c:v>
                </c:pt>
              </c:strCache>
            </c:strRef>
          </c:cat>
          <c:val>
            <c:numRef>
              <c:f>врп!$B$2:$B$7</c:f>
              <c:numCache>
                <c:formatCode>0.00</c:formatCode>
                <c:ptCount val="6"/>
                <c:pt idx="0">
                  <c:v>825</c:v>
                </c:pt>
                <c:pt idx="1">
                  <c:v>891.79</c:v>
                </c:pt>
                <c:pt idx="2">
                  <c:v>882.84</c:v>
                </c:pt>
                <c:pt idx="3">
                  <c:v>935.39</c:v>
                </c:pt>
                <c:pt idx="4">
                  <c:v>994.02</c:v>
                </c:pt>
                <c:pt idx="5">
                  <c:v>1059.4100000000001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908-459D-BC8B-09967D4D18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20652600"/>
        <c:axId val="223491760"/>
      </c:barChart>
      <c:lineChart>
        <c:grouping val="standard"/>
        <c:varyColors val="0"/>
        <c:ser>
          <c:idx val="1"/>
          <c:order val="1"/>
          <c:tx>
            <c:strRef>
              <c:f>врп!$C$1</c:f>
              <c:strCache>
                <c:ptCount val="1"/>
                <c:pt idx="0">
                  <c:v>Индекс физического объема  ВРП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triang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7.7330077330077351E-2"/>
                  <c:y val="-3.4030968181044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5120065120065115E-2"/>
                  <c:y val="-4.0837161817253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2235938456410898E-2"/>
                  <c:y val="-3.134305761550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6280016280016279E-2"/>
                  <c:y val="6.1255742725880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0908-459D-BC8B-09967D4D18B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врп!$A$2:$A$7</c:f>
              <c:strCache>
                <c:ptCount val="6"/>
                <c:pt idx="0">
                  <c:v>2018 год (отчет)</c:v>
                </c:pt>
                <c:pt idx="1">
                  <c:v>2019 год (отчет)</c:v>
                </c:pt>
                <c:pt idx="2">
                  <c:v>2020 год (оценка)</c:v>
                </c:pt>
                <c:pt idx="3">
                  <c:v>2021 год (прогн.)</c:v>
                </c:pt>
                <c:pt idx="4">
                  <c:v>2022 год (прогн.)</c:v>
                </c:pt>
                <c:pt idx="5">
                  <c:v>2023 год (прогн.)</c:v>
                </c:pt>
              </c:strCache>
            </c:strRef>
          </c:cat>
          <c:val>
            <c:numRef>
              <c:f>врп!$C$2:$C$7</c:f>
              <c:numCache>
                <c:formatCode>0.00%</c:formatCode>
                <c:ptCount val="6"/>
                <c:pt idx="0">
                  <c:v>1.0073000000000001</c:v>
                </c:pt>
                <c:pt idx="1">
                  <c:v>1.0293000000000001</c:v>
                </c:pt>
                <c:pt idx="2">
                  <c:v>0.95830000000000004</c:v>
                </c:pt>
                <c:pt idx="3">
                  <c:v>1.0179</c:v>
                </c:pt>
                <c:pt idx="4">
                  <c:v>1.0201</c:v>
                </c:pt>
                <c:pt idx="5">
                  <c:v>1.0238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B-0908-459D-BC8B-09967D4D18B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3499208"/>
        <c:axId val="223498032"/>
      </c:lineChart>
      <c:catAx>
        <c:axId val="220652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3491760"/>
        <c:crosses val="autoZero"/>
        <c:auto val="1"/>
        <c:lblAlgn val="ctr"/>
        <c:lblOffset val="100"/>
        <c:noMultiLvlLbl val="0"/>
      </c:catAx>
      <c:valAx>
        <c:axId val="223491760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млрд</a:t>
                </a:r>
                <a:r>
                  <a:rPr lang="ru-RU" baseline="0"/>
                  <a:t> рублей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3473828591938823E-2"/>
              <c:y val="1.6699290842855978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0652600"/>
        <c:crosses val="autoZero"/>
        <c:crossBetween val="between"/>
      </c:valAx>
      <c:valAx>
        <c:axId val="223498032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3499208"/>
        <c:crosses val="max"/>
        <c:crossBetween val="between"/>
      </c:valAx>
      <c:catAx>
        <c:axId val="223499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2349803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5.1296204755532586E-2"/>
          <c:y val="0.87160088909253863"/>
          <c:w val="0.90531230911101879"/>
          <c:h val="0.1124884047028368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22054783547029"/>
          <c:y val="2.2099441104554429E-2"/>
          <c:w val="0.87262924270911379"/>
          <c:h val="0.731980472446608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 (млн рублей)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Поступило в 2019 году </c:v>
                </c:pt>
                <c:pt idx="1">
                  <c:v>Утверждено на 2020 год</c:v>
                </c:pt>
                <c:pt idx="2">
                  <c:v>Проект на 2021 год</c:v>
                </c:pt>
                <c:pt idx="3">
                  <c:v>Проект на 2022 год</c:v>
                </c:pt>
                <c:pt idx="4">
                  <c:v>Проект на 2023 год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96879.21</c:v>
                </c:pt>
                <c:pt idx="1">
                  <c:v>89389.86</c:v>
                </c:pt>
                <c:pt idx="2">
                  <c:v>94678.97</c:v>
                </c:pt>
                <c:pt idx="3">
                  <c:v>101273.02</c:v>
                </c:pt>
                <c:pt idx="4">
                  <c:v>106640.17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0-3533-4EB7-B582-E336DB6DAF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 от других бюджетов бюджетной системы РФ (млн рублей)</c:v>
                </c:pt>
              </c:strCache>
            </c:strRef>
          </c:tx>
          <c:spPr>
            <a:solidFill>
              <a:srgbClr val="62B14F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0591676040494941E-2"/>
                  <c:y val="-8.98884616265833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533-4EB7-B582-E336DB6DAFE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712410948631379E-2"/>
                  <c:y val="-2.8091811867051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533-4EB7-B582-E336DB6DAFE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3474315710536183E-2"/>
                  <c:y val="-3.6393603226866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533-4EB7-B582-E336DB6DAFE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725314183123879E-2"/>
                  <c:y val="-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533-4EB7-B582-E336DB6DAFE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1119090365050867E-2"/>
                  <c:y val="-1.797752808988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533-4EB7-B582-E336DB6DAFE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Поступило в 2019 году </c:v>
                </c:pt>
                <c:pt idx="1">
                  <c:v>Утверждено на 2020 год</c:v>
                </c:pt>
                <c:pt idx="2">
                  <c:v>Проект на 2021 год</c:v>
                </c:pt>
                <c:pt idx="3">
                  <c:v>Проект на 2022 год</c:v>
                </c:pt>
                <c:pt idx="4">
                  <c:v>Проект на 2023 год</c:v>
                </c:pt>
              </c:strCache>
            </c:strRef>
          </c:cat>
          <c:val>
            <c:numRef>
              <c:f>Лист1!$C$2:$C$6</c:f>
              <c:numCache>
                <c:formatCode>#,##0.00</c:formatCode>
                <c:ptCount val="5"/>
                <c:pt idx="0">
                  <c:v>37126.57</c:v>
                </c:pt>
                <c:pt idx="1">
                  <c:v>54543.61</c:v>
                </c:pt>
                <c:pt idx="2">
                  <c:v>45087.28</c:v>
                </c:pt>
                <c:pt idx="3">
                  <c:v>31183.439999999999</c:v>
                </c:pt>
                <c:pt idx="4">
                  <c:v>30771.200000000001</c:v>
                </c:pt>
              </c:numCache>
            </c:numRef>
          </c:val>
          <c:shape val="cylinder"/>
          <c:extLst xmlns:c16r2="http://schemas.microsoft.com/office/drawing/2015/06/chart">
            <c:ext xmlns:c16="http://schemas.microsoft.com/office/drawing/2014/chart" uri="{C3380CC4-5D6E-409C-BE32-E72D297353CC}">
              <c16:uniqueId val="{00000006-3533-4EB7-B582-E336DB6DA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3495288"/>
        <c:axId val="223496464"/>
        <c:axId val="0"/>
      </c:bar3DChart>
      <c:catAx>
        <c:axId val="223495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3496464"/>
        <c:crosses val="autoZero"/>
        <c:auto val="1"/>
        <c:lblAlgn val="ctr"/>
        <c:lblOffset val="100"/>
        <c:noMultiLvlLbl val="0"/>
      </c:catAx>
      <c:valAx>
        <c:axId val="22349646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crossAx val="223495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sz="1000"/>
              <a:t>Структура расходов краевого бюджета в разрезе программных мероприятий на 2021 год (в %)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40"/>
      <c:rotY val="27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873410918378479"/>
          <c:y val="0.20066768350975994"/>
          <c:w val="0.54524526885239588"/>
          <c:h val="0.500868010290104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B5-489D-8DA2-FB806B8DD7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B5-489D-8DA2-FB806B8DD75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B5-489D-8DA2-FB806B8DD75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B5-489D-8DA2-FB806B8DD75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7B5-489D-8DA2-FB806B8DD75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7B5-489D-8DA2-FB806B8DD75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7B5-489D-8DA2-FB806B8DD75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7B5-489D-8DA2-FB806B8DD75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E7B5-489D-8DA2-FB806B8DD75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E7B5-489D-8DA2-FB806B8DD75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E7B5-489D-8DA2-FB806B8DD75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E7B5-489D-8DA2-FB806B8DD755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E7B5-489D-8DA2-FB806B8DD755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E7B5-489D-8DA2-FB806B8DD755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E7B5-489D-8DA2-FB806B8DD755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E7B5-489D-8DA2-FB806B8DD755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E7B5-489D-8DA2-FB806B8DD755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E7B5-489D-8DA2-FB806B8DD755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E7B5-489D-8DA2-FB806B8DD755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E7B5-489D-8DA2-FB806B8DD755}"/>
              </c:ext>
            </c:extLst>
          </c:dPt>
          <c:dLbls>
            <c:dLbl>
              <c:idx val="0"/>
              <c:layout>
                <c:manualLayout>
                  <c:x val="0.11510774631166211"/>
                  <c:y val="-9.142940327823261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2942624399929281E-2"/>
                  <c:y val="-4.6937323162217839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5204303165807979E-3"/>
                  <c:y val="-3.3952414484774811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0982377202849562E-2"/>
                  <c:y val="-5.256833341692161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835984787615837E-2"/>
                  <c:y val="4.9626360399217615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0266680950595461"/>
                  <c:y val="5.3369443469247872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128091131465701E-2"/>
                  <c:y val="5.4079107945901587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495009552377373E-2"/>
                  <c:y val="0.1377146964909641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3645508597139647"/>
                  <c:y val="0.1861181603891870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0.16891821392696282"/>
                  <c:y val="0.10624415850457718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1615726605602875"/>
                  <c:y val="2.8228262868415257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5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7.6484235766825448E-2"/>
                  <c:y val="0.18507547532168236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7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0.10998337921696218"/>
                  <c:y val="0.1984712589734230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9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0.11212450827509644"/>
                  <c:y val="0.14538900766543256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B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0.10077071661885785"/>
                  <c:y val="7.8748848446924272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D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9.4083899659241868E-2"/>
                  <c:y val="1.6745754462811353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F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0.11679773983019849"/>
                  <c:y val="-4.052967096000417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1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8.9104082038644926E-4"/>
                  <c:y val="-0.24153695399002276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3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8.9649551752241236E-2"/>
                  <c:y val="-7.3136656758964788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5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7.3349633251833746E-2"/>
                  <c:y val="-0.1744350871703951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27-E7B5-489D-8DA2-FB806B8DD75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Лист2!$A$1:$A$20</c:f>
              <c:strCache>
                <c:ptCount val="20"/>
                <c:pt idx="0">
                  <c:v>Развитие здравоохранения </c:v>
                </c:pt>
                <c:pt idx="1">
                  <c:v>Развитие образования</c:v>
                </c:pt>
                <c:pt idx="2">
                  <c:v>Социальная поддержка</c:v>
                </c:pt>
                <c:pt idx="3">
                  <c:v>Содействие занятости населения</c:v>
                </c:pt>
                <c:pt idx="4">
                  <c:v>Развитие культуры</c:v>
                </c:pt>
                <c:pt idx="5">
                  <c:v>Обеспечение доступным жильем и качеств. услугами ЖКХ </c:v>
                </c:pt>
                <c:pt idx="6">
                  <c:v>Защита населения и территории от ЧС</c:v>
                </c:pt>
                <c:pt idx="7">
                  <c:v>Охрана окружающей среды </c:v>
                </c:pt>
                <c:pt idx="8">
                  <c:v>Развитие физкультуры и спорта </c:v>
                </c:pt>
                <c:pt idx="9">
                  <c:v>Развитие туризма </c:v>
                </c:pt>
                <c:pt idx="10">
                  <c:v>Информационное общество</c:v>
                </c:pt>
                <c:pt idx="11">
                  <c:v>Развитие транспортного комплекса </c:v>
                </c:pt>
                <c:pt idx="12">
                  <c:v>Энергоэффективность, развитие газоснабжения </c:v>
                </c:pt>
                <c:pt idx="13">
                  <c:v>Развитие сельского хозяйства </c:v>
                </c:pt>
                <c:pt idx="14">
                  <c:v>Развитие рыбохозяйственного комплекса</c:v>
                </c:pt>
                <c:pt idx="15">
                  <c:v>Развитие лесного хозяйства</c:v>
                </c:pt>
                <c:pt idx="16">
                  <c:v>Экономическое развитие</c:v>
                </c:pt>
                <c:pt idx="17">
                  <c:v>Безопасный край</c:v>
                </c:pt>
                <c:pt idx="18">
                  <c:v>Патриотическое воспитание граждан</c:v>
                </c:pt>
                <c:pt idx="19">
                  <c:v>Формирование современной городской среды </c:v>
                </c:pt>
              </c:strCache>
            </c:strRef>
          </c:cat>
          <c:val>
            <c:numRef>
              <c:f>Лист2!$B$1:$B$20</c:f>
              <c:numCache>
                <c:formatCode>0.00</c:formatCode>
                <c:ptCount val="20"/>
                <c:pt idx="0">
                  <c:v>17.109417276672275</c:v>
                </c:pt>
                <c:pt idx="1">
                  <c:v>21.306109763406685</c:v>
                </c:pt>
                <c:pt idx="2">
                  <c:v>19.452947858757526</c:v>
                </c:pt>
                <c:pt idx="3">
                  <c:v>1.50041804199433</c:v>
                </c:pt>
                <c:pt idx="4">
                  <c:v>1.1496042453491477</c:v>
                </c:pt>
                <c:pt idx="5">
                  <c:v>7.7031642091491239</c:v>
                </c:pt>
                <c:pt idx="6">
                  <c:v>1.0650007043652141</c:v>
                </c:pt>
                <c:pt idx="7">
                  <c:v>0.19456870474928209</c:v>
                </c:pt>
                <c:pt idx="8">
                  <c:v>1.769127663711233</c:v>
                </c:pt>
                <c:pt idx="9">
                  <c:v>0.27667982236104871</c:v>
                </c:pt>
                <c:pt idx="10">
                  <c:v>1.293151169145621</c:v>
                </c:pt>
                <c:pt idx="11">
                  <c:v>13.527964572587898</c:v>
                </c:pt>
                <c:pt idx="12">
                  <c:v>1.1017305937039048</c:v>
                </c:pt>
                <c:pt idx="13">
                  <c:v>2.9261397523420043</c:v>
                </c:pt>
                <c:pt idx="14">
                  <c:v>8.5985134998032411E-2</c:v>
                </c:pt>
                <c:pt idx="15">
                  <c:v>0.5079961508119526</c:v>
                </c:pt>
                <c:pt idx="16">
                  <c:v>4.3374067956678042</c:v>
                </c:pt>
                <c:pt idx="17">
                  <c:v>0.53771777882378757</c:v>
                </c:pt>
                <c:pt idx="18">
                  <c:v>0.10334878640134927</c:v>
                </c:pt>
                <c:pt idx="19">
                  <c:v>0.83312201855178769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8-E7B5-489D-8DA2-FB806B8DD7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7</cp:revision>
  <dcterms:created xsi:type="dcterms:W3CDTF">2020-12-11T00:25:00Z</dcterms:created>
  <dcterms:modified xsi:type="dcterms:W3CDTF">2020-12-18T03:55:00Z</dcterms:modified>
</cp:coreProperties>
</file>